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8252" w14:textId="7A728072" w:rsidR="00C13A96" w:rsidRPr="00BB4029" w:rsidRDefault="00260601" w:rsidP="00586F33">
      <w:pPr>
        <w:pStyle w:val="Heading1"/>
      </w:pPr>
      <w:r w:rsidRPr="00260601">
        <w:t>Women's Grants for a Stronger Future 2025-26</w:t>
      </w:r>
      <w:r w:rsidR="008E4235">
        <w:t xml:space="preserve"> Program</w:t>
      </w:r>
    </w:p>
    <w:p w14:paraId="46416914" w14:textId="2D47B95C" w:rsidR="0027363A" w:rsidRDefault="0027363A" w:rsidP="004D05C8">
      <w:pPr>
        <w:pStyle w:val="Subtitle"/>
      </w:pPr>
      <w:r>
        <w:t>Grant Recipients</w:t>
      </w:r>
    </w:p>
    <w:p w14:paraId="7782E232" w14:textId="2BC961FB" w:rsidR="00F67C70" w:rsidRDefault="003433BD" w:rsidP="00F67C7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Grant Recipients list for the two separate grant programs:</w:t>
      </w:r>
    </w:p>
    <w:p w14:paraId="732C98D0" w14:textId="0A411113" w:rsidR="00F67C70" w:rsidRPr="00454348" w:rsidRDefault="00F15D42" w:rsidP="00F67C70">
      <w:pPr>
        <w:pStyle w:val="paragraph"/>
        <w:numPr>
          <w:ilvl w:val="0"/>
          <w:numId w:val="48"/>
        </w:numPr>
        <w:spacing w:before="0" w:beforeAutospacing="0" w:after="0" w:afterAutospacing="0"/>
        <w:textAlignment w:val="baseline"/>
        <w:rPr>
          <w:rStyle w:val="normaltextrun"/>
          <w:rFonts w:ascii="Arial" w:hAnsi="Arial" w:cs="Arial"/>
        </w:rPr>
      </w:pPr>
      <w:r w:rsidRPr="00F15D42">
        <w:rPr>
          <w:rStyle w:val="normaltextrun"/>
          <w:rFonts w:ascii="Arial" w:hAnsi="Arial" w:cs="Arial"/>
        </w:rPr>
        <w:t>DOCG202539810</w:t>
      </w:r>
      <w:r w:rsidR="005A4F82">
        <w:rPr>
          <w:rStyle w:val="normaltextrun"/>
          <w:rFonts w:ascii="Arial" w:hAnsi="Arial" w:cs="Arial"/>
        </w:rPr>
        <w:t xml:space="preserve"> -</w:t>
      </w:r>
      <w:r w:rsidR="00F67C70" w:rsidRPr="00454348">
        <w:rPr>
          <w:rStyle w:val="normaltextrun"/>
          <w:rFonts w:ascii="Arial" w:hAnsi="Arial" w:cs="Arial"/>
        </w:rPr>
        <w:t xml:space="preserve"> Annual Grants Program</w:t>
      </w:r>
    </w:p>
    <w:p w14:paraId="4A20EFF8" w14:textId="05FE3AF7" w:rsidR="00F67C70" w:rsidRPr="00454348" w:rsidRDefault="00F15D42" w:rsidP="00F67C70">
      <w:pPr>
        <w:pStyle w:val="paragraph"/>
        <w:numPr>
          <w:ilvl w:val="0"/>
          <w:numId w:val="48"/>
        </w:numPr>
        <w:spacing w:before="0" w:beforeAutospacing="0" w:after="0" w:afterAutospacing="0"/>
        <w:textAlignment w:val="baseline"/>
        <w:rPr>
          <w:rStyle w:val="normaltextrun"/>
          <w:rFonts w:ascii="Arial" w:hAnsi="Arial" w:cs="Arial"/>
        </w:rPr>
      </w:pPr>
      <w:r w:rsidRPr="00F15D42">
        <w:rPr>
          <w:rStyle w:val="normaltextrun"/>
          <w:rFonts w:ascii="Arial" w:hAnsi="Arial" w:cs="Arial"/>
        </w:rPr>
        <w:t>DOCG202540117</w:t>
      </w:r>
      <w:r w:rsidR="005A4F82">
        <w:rPr>
          <w:rStyle w:val="normaltextrun"/>
          <w:rFonts w:ascii="Arial" w:hAnsi="Arial" w:cs="Arial"/>
        </w:rPr>
        <w:t xml:space="preserve"> -</w:t>
      </w:r>
      <w:r w:rsidR="00F67C70" w:rsidRPr="00454348">
        <w:rPr>
          <w:rStyle w:val="normaltextrun"/>
          <w:rFonts w:ascii="Arial" w:hAnsi="Arial" w:cs="Arial"/>
        </w:rPr>
        <w:t xml:space="preserve"> Safety and Justice Grants Program</w:t>
      </w:r>
    </w:p>
    <w:p w14:paraId="5AE0A766" w14:textId="77777777" w:rsidR="00F67C70" w:rsidRDefault="00F67C70" w:rsidP="00F67C70"/>
    <w:p w14:paraId="5922EBE8" w14:textId="4455470A" w:rsidR="00F67C70" w:rsidRPr="00F743DA" w:rsidRDefault="00234227" w:rsidP="00F67C70">
      <w:pPr>
        <w:pStyle w:val="Heading3"/>
        <w:rPr>
          <w:sz w:val="48"/>
          <w:szCs w:val="48"/>
        </w:rPr>
      </w:pPr>
      <w:r w:rsidRPr="00F743DA">
        <w:rPr>
          <w:rStyle w:val="normaltextrun"/>
          <w:sz w:val="48"/>
          <w:szCs w:val="48"/>
        </w:rPr>
        <w:t>DOCG202539810</w:t>
      </w:r>
      <w:r w:rsidR="00B32BBA" w:rsidRPr="00F743DA">
        <w:rPr>
          <w:rStyle w:val="normaltextrun"/>
          <w:sz w:val="48"/>
          <w:szCs w:val="48"/>
        </w:rPr>
        <w:t xml:space="preserve"> -</w:t>
      </w:r>
      <w:r w:rsidR="00F67C70" w:rsidRPr="00F743DA">
        <w:rPr>
          <w:sz w:val="48"/>
          <w:szCs w:val="48"/>
        </w:rPr>
        <w:t xml:space="preserve"> Annual Grants Program</w:t>
      </w:r>
    </w:p>
    <w:tbl>
      <w:tblPr>
        <w:tblStyle w:val="TableStyle"/>
        <w:tblW w:w="14495" w:type="dxa"/>
        <w:tblLook w:val="04A0" w:firstRow="1" w:lastRow="0" w:firstColumn="1" w:lastColumn="0" w:noHBand="0" w:noVBand="1"/>
        <w:tblDescription w:val="Table example"/>
      </w:tblPr>
      <w:tblGrid>
        <w:gridCol w:w="2689"/>
        <w:gridCol w:w="2467"/>
        <w:gridCol w:w="5519"/>
        <w:gridCol w:w="1418"/>
        <w:gridCol w:w="2402"/>
      </w:tblGrid>
      <w:tr w:rsidR="0027363A" w:rsidRPr="00531866" w14:paraId="190CAB70" w14:textId="77777777" w:rsidTr="004D749D">
        <w:trPr>
          <w:cnfStyle w:val="100000000000" w:firstRow="1" w:lastRow="0" w:firstColumn="0" w:lastColumn="0" w:oddVBand="0" w:evenVBand="0" w:oddHBand="0" w:evenHBand="0" w:firstRowFirstColumn="0" w:firstRowLastColumn="0" w:lastRowFirstColumn="0" w:lastRowLastColumn="0"/>
          <w:trHeight w:val="615"/>
        </w:trPr>
        <w:tc>
          <w:tcPr>
            <w:tcW w:w="2689" w:type="dxa"/>
          </w:tcPr>
          <w:p w14:paraId="5668EDB2" w14:textId="77777777" w:rsidR="0027363A" w:rsidRPr="00531866" w:rsidRDefault="0027363A" w:rsidP="003E52E1">
            <w:pPr>
              <w:pStyle w:val="TableContent"/>
            </w:pPr>
            <w:r>
              <w:t>Organisation</w:t>
            </w:r>
            <w:r w:rsidRPr="00531866">
              <w:t xml:space="preserve"> </w:t>
            </w:r>
          </w:p>
        </w:tc>
        <w:tc>
          <w:tcPr>
            <w:tcW w:w="2467" w:type="dxa"/>
          </w:tcPr>
          <w:p w14:paraId="12739FCE" w14:textId="77777777" w:rsidR="0027363A" w:rsidRPr="00531866" w:rsidRDefault="0027363A" w:rsidP="003E52E1">
            <w:pPr>
              <w:pStyle w:val="TableContent"/>
            </w:pPr>
            <w:r>
              <w:t>Project Name</w:t>
            </w:r>
          </w:p>
        </w:tc>
        <w:tc>
          <w:tcPr>
            <w:tcW w:w="5519" w:type="dxa"/>
          </w:tcPr>
          <w:p w14:paraId="78C66904" w14:textId="77777777" w:rsidR="0027363A" w:rsidRDefault="0027363A" w:rsidP="003E52E1">
            <w:pPr>
              <w:pStyle w:val="TableContent"/>
            </w:pPr>
            <w:r>
              <w:t>Project Description</w:t>
            </w:r>
          </w:p>
        </w:tc>
        <w:tc>
          <w:tcPr>
            <w:tcW w:w="1418" w:type="dxa"/>
          </w:tcPr>
          <w:p w14:paraId="6EB7ADB8" w14:textId="77777777" w:rsidR="0027363A" w:rsidRDefault="0027363A" w:rsidP="003E52E1">
            <w:pPr>
              <w:pStyle w:val="TableContent"/>
            </w:pPr>
            <w:r>
              <w:t>Funding Amount</w:t>
            </w:r>
          </w:p>
        </w:tc>
        <w:tc>
          <w:tcPr>
            <w:tcW w:w="2402" w:type="dxa"/>
          </w:tcPr>
          <w:p w14:paraId="17906202" w14:textId="77777777" w:rsidR="0027363A" w:rsidRDefault="0027363A" w:rsidP="003E52E1">
            <w:pPr>
              <w:pStyle w:val="TableContent"/>
            </w:pPr>
            <w:r>
              <w:t>Regions</w:t>
            </w:r>
          </w:p>
        </w:tc>
      </w:tr>
      <w:tr w:rsidR="009E0F50" w:rsidRPr="00531866" w14:paraId="598DCEA1" w14:textId="77777777" w:rsidTr="004D749D">
        <w:trPr>
          <w:trHeight w:val="693"/>
        </w:trPr>
        <w:tc>
          <w:tcPr>
            <w:tcW w:w="2689" w:type="dxa"/>
          </w:tcPr>
          <w:p w14:paraId="1619B0D2" w14:textId="0788074E" w:rsidR="009E0F50" w:rsidRPr="00531866" w:rsidRDefault="000C5D94" w:rsidP="009E0F50">
            <w:pPr>
              <w:pStyle w:val="TableContent"/>
            </w:pPr>
            <w:r w:rsidRPr="000C5D94">
              <w:t>Kwinana Early Years Service Incorporated</w:t>
            </w:r>
          </w:p>
        </w:tc>
        <w:tc>
          <w:tcPr>
            <w:tcW w:w="2467" w:type="dxa"/>
          </w:tcPr>
          <w:p w14:paraId="72A1268D" w14:textId="6FDE4F09" w:rsidR="009E0F50" w:rsidRPr="00531866" w:rsidRDefault="009E0F50" w:rsidP="009E0F50">
            <w:pPr>
              <w:pStyle w:val="BodyText"/>
            </w:pPr>
            <w:r>
              <w:t>Culturally and Linguistically Diverse Women’s Voices: Co-Designing Safer Futures in Kwinana</w:t>
            </w:r>
          </w:p>
        </w:tc>
        <w:tc>
          <w:tcPr>
            <w:tcW w:w="5519" w:type="dxa"/>
          </w:tcPr>
          <w:p w14:paraId="2B50ED41" w14:textId="1FC81BE3" w:rsidR="009E0F50" w:rsidRPr="00531866" w:rsidRDefault="009E0F50" w:rsidP="009E0F50">
            <w:pPr>
              <w:pStyle w:val="BodyText"/>
            </w:pPr>
            <w:r>
              <w:t xml:space="preserve">Kwinana Early Years Service </w:t>
            </w:r>
            <w:r w:rsidR="00260601">
              <w:t>will</w:t>
            </w:r>
            <w:r>
              <w:t xml:space="preserve"> deliver a 12-month project to co-design culturally safe family and domestic violence (FDV) awareness resources with women from culturally and linguistically diverse (CaLD) backgrounds in Kwinana. Through listening circles, workshops, and prototype development, the project will </w:t>
            </w:r>
            <w:r>
              <w:lastRenderedPageBreak/>
              <w:t>empower women to recognise signs of abuse, strengthen pathways to safety, and lay the foundation for future prevention initiatives across the region.</w:t>
            </w:r>
          </w:p>
        </w:tc>
        <w:tc>
          <w:tcPr>
            <w:tcW w:w="1418" w:type="dxa"/>
          </w:tcPr>
          <w:p w14:paraId="5AAA9E2B" w14:textId="3BC5E4A9" w:rsidR="009E0F50" w:rsidRPr="00531866" w:rsidRDefault="009E0F50" w:rsidP="009E0F50">
            <w:pPr>
              <w:pStyle w:val="TableContent"/>
            </w:pPr>
            <w:r w:rsidRPr="003C4B86">
              <w:lastRenderedPageBreak/>
              <w:t>$10,000.00</w:t>
            </w:r>
          </w:p>
        </w:tc>
        <w:tc>
          <w:tcPr>
            <w:tcW w:w="2402" w:type="dxa"/>
          </w:tcPr>
          <w:p w14:paraId="5E82C35E" w14:textId="658C95FB" w:rsidR="009E0F50" w:rsidRPr="00531866" w:rsidRDefault="009E0F50" w:rsidP="009E0F50">
            <w:pPr>
              <w:pStyle w:val="TableContent"/>
            </w:pPr>
            <w:r w:rsidRPr="000D1F29">
              <w:t>South-West Metro</w:t>
            </w:r>
          </w:p>
        </w:tc>
      </w:tr>
      <w:tr w:rsidR="009E0F50" w:rsidRPr="00531866" w14:paraId="240E96B6" w14:textId="77777777" w:rsidTr="004D749D">
        <w:trPr>
          <w:trHeight w:val="693"/>
        </w:trPr>
        <w:tc>
          <w:tcPr>
            <w:tcW w:w="2689" w:type="dxa"/>
          </w:tcPr>
          <w:p w14:paraId="303CDC64" w14:textId="3CB5FDFF" w:rsidR="009E0F50" w:rsidRPr="00531866" w:rsidRDefault="000C5D94" w:rsidP="009E0F50">
            <w:pPr>
              <w:pStyle w:val="TableContent"/>
            </w:pPr>
            <w:r w:rsidRPr="000C5D94">
              <w:t>Western Australian Council of Social Service Inc</w:t>
            </w:r>
          </w:p>
        </w:tc>
        <w:tc>
          <w:tcPr>
            <w:tcW w:w="2467" w:type="dxa"/>
          </w:tcPr>
          <w:p w14:paraId="29DFC35E" w14:textId="74E66CAB" w:rsidR="009E0F50" w:rsidRPr="00531866" w:rsidRDefault="009E0F50" w:rsidP="009E0F50">
            <w:pPr>
              <w:pStyle w:val="BodyText"/>
            </w:pPr>
            <w:r>
              <w:t>Improving Economic Security for WA Women: Case Studies on Flexible working arrangements in WA’s Community Service Sector</w:t>
            </w:r>
          </w:p>
        </w:tc>
        <w:tc>
          <w:tcPr>
            <w:tcW w:w="5519" w:type="dxa"/>
          </w:tcPr>
          <w:p w14:paraId="0856BB3A" w14:textId="5A082CFA" w:rsidR="009E0F50" w:rsidRPr="00531866" w:rsidRDefault="000C5D94" w:rsidP="009E0F50">
            <w:pPr>
              <w:pStyle w:val="BodyText"/>
            </w:pPr>
            <w:r w:rsidRPr="000C5D94">
              <w:t>Western Australian Council of Social Service Inc</w:t>
            </w:r>
            <w:r>
              <w:t xml:space="preserve"> </w:t>
            </w:r>
            <w:r w:rsidR="009E0F50">
              <w:t>will seek to identify barriers to flexible work in the community service sector and develop resources and case studies to support organisations in improving flexible work availability.</w:t>
            </w:r>
          </w:p>
        </w:tc>
        <w:tc>
          <w:tcPr>
            <w:tcW w:w="1418" w:type="dxa"/>
          </w:tcPr>
          <w:p w14:paraId="02595DE4" w14:textId="31E200C9" w:rsidR="009E0F50" w:rsidRPr="00531866" w:rsidRDefault="009E0F50" w:rsidP="009E0F50">
            <w:pPr>
              <w:pStyle w:val="TableContent"/>
            </w:pPr>
            <w:r w:rsidRPr="003C4B86">
              <w:t>$10,000.00</w:t>
            </w:r>
          </w:p>
        </w:tc>
        <w:tc>
          <w:tcPr>
            <w:tcW w:w="2402" w:type="dxa"/>
          </w:tcPr>
          <w:p w14:paraId="3973A1AF" w14:textId="5D62BA43" w:rsidR="009E0F50" w:rsidRPr="00531866" w:rsidRDefault="009E0F50" w:rsidP="009E0F50">
            <w:pPr>
              <w:pStyle w:val="TableContent"/>
            </w:pPr>
            <w:r w:rsidRPr="000D1F29">
              <w:t>North-West Metro</w:t>
            </w:r>
          </w:p>
        </w:tc>
      </w:tr>
      <w:tr w:rsidR="009E0F50" w:rsidRPr="00531866" w14:paraId="3B188BD9" w14:textId="77777777" w:rsidTr="004D749D">
        <w:trPr>
          <w:trHeight w:val="693"/>
        </w:trPr>
        <w:tc>
          <w:tcPr>
            <w:tcW w:w="2689" w:type="dxa"/>
          </w:tcPr>
          <w:p w14:paraId="5EB89051" w14:textId="00678720" w:rsidR="009E0F50" w:rsidRPr="00531866" w:rsidRDefault="009E0F50" w:rsidP="009E0F50">
            <w:pPr>
              <w:pStyle w:val="TableContent"/>
            </w:pPr>
            <w:r w:rsidRPr="00EB12A0">
              <w:t>Gosnells Women</w:t>
            </w:r>
            <w:r w:rsidR="00260601">
              <w:t>’</w:t>
            </w:r>
            <w:r w:rsidRPr="00EB12A0">
              <w:t>s Health Service Inc</w:t>
            </w:r>
          </w:p>
        </w:tc>
        <w:tc>
          <w:tcPr>
            <w:tcW w:w="2467" w:type="dxa"/>
          </w:tcPr>
          <w:p w14:paraId="69856936" w14:textId="2FDE3E96" w:rsidR="009E0F50" w:rsidRPr="00531866" w:rsidRDefault="009E0F50" w:rsidP="009E0F50">
            <w:pPr>
              <w:pStyle w:val="BodyText"/>
            </w:pPr>
            <w:r>
              <w:t>Connected &amp; Regulated: Resilient Women Thriving with ADHD</w:t>
            </w:r>
          </w:p>
        </w:tc>
        <w:tc>
          <w:tcPr>
            <w:tcW w:w="5519" w:type="dxa"/>
          </w:tcPr>
          <w:p w14:paraId="3E222B23" w14:textId="33B0370C" w:rsidR="009E0F50" w:rsidRPr="00531866" w:rsidRDefault="009E0F50" w:rsidP="009E0F50">
            <w:pPr>
              <w:pStyle w:val="BodyText"/>
            </w:pPr>
            <w:r>
              <w:t xml:space="preserve">Gosnells </w:t>
            </w:r>
            <w:r w:rsidR="00260601">
              <w:t>Women’s</w:t>
            </w:r>
            <w:r>
              <w:t xml:space="preserve"> Health Service Inc will deliver three psychoeducational workshops for women, focusing on ADHD, attachment, and emotional regulation. These sessions promote health and wellbeing by increasing awareness, resilience, and self-compassion, while reducing stigma around ADHD in women. Open to all women, the project fosters empowerment, peer support, and practical strategies for thriving in relationships, workplaces, and community life.</w:t>
            </w:r>
          </w:p>
        </w:tc>
        <w:tc>
          <w:tcPr>
            <w:tcW w:w="1418" w:type="dxa"/>
          </w:tcPr>
          <w:p w14:paraId="3FDDB47B" w14:textId="4644ED3F" w:rsidR="009E0F50" w:rsidRPr="00531866" w:rsidRDefault="009E0F50" w:rsidP="009E0F50">
            <w:pPr>
              <w:pStyle w:val="TableContent"/>
            </w:pPr>
            <w:r w:rsidRPr="003C4B86">
              <w:t>$10,000.00</w:t>
            </w:r>
          </w:p>
        </w:tc>
        <w:tc>
          <w:tcPr>
            <w:tcW w:w="2402" w:type="dxa"/>
          </w:tcPr>
          <w:p w14:paraId="3761B990" w14:textId="2F9094C0" w:rsidR="009E0F50" w:rsidRPr="00531866" w:rsidRDefault="009E0F50" w:rsidP="009E0F50">
            <w:pPr>
              <w:pStyle w:val="TableContent"/>
            </w:pPr>
            <w:r w:rsidRPr="000D1F29">
              <w:t>South-West Metro; Western Metro; North-West Metro; South-East Metro; East Metro</w:t>
            </w:r>
          </w:p>
        </w:tc>
      </w:tr>
      <w:tr w:rsidR="009E0F50" w:rsidRPr="00531866" w14:paraId="64E75B69" w14:textId="77777777" w:rsidTr="004D749D">
        <w:trPr>
          <w:trHeight w:val="693"/>
        </w:trPr>
        <w:tc>
          <w:tcPr>
            <w:tcW w:w="2689" w:type="dxa"/>
          </w:tcPr>
          <w:p w14:paraId="1F92D93B" w14:textId="17A59A67" w:rsidR="009E0F50" w:rsidRPr="00531866" w:rsidRDefault="009E0F50" w:rsidP="009E0F50">
            <w:pPr>
              <w:pStyle w:val="TableContent"/>
            </w:pPr>
            <w:r w:rsidRPr="00EB12A0">
              <w:lastRenderedPageBreak/>
              <w:t>Domestic Abuse Resource and Training Institute Australia Inc</w:t>
            </w:r>
          </w:p>
        </w:tc>
        <w:tc>
          <w:tcPr>
            <w:tcW w:w="2467" w:type="dxa"/>
          </w:tcPr>
          <w:p w14:paraId="5FA46959" w14:textId="1E307D22" w:rsidR="009E0F50" w:rsidRPr="00531866" w:rsidRDefault="009E0F50" w:rsidP="009E0F50">
            <w:pPr>
              <w:pStyle w:val="BodyText"/>
            </w:pPr>
            <w:r>
              <w:t>Women's Wellness Program</w:t>
            </w:r>
          </w:p>
        </w:tc>
        <w:tc>
          <w:tcPr>
            <w:tcW w:w="5519" w:type="dxa"/>
          </w:tcPr>
          <w:p w14:paraId="416A6F06" w14:textId="453D50DA" w:rsidR="009E0F50" w:rsidRPr="00531866" w:rsidRDefault="009E0F50" w:rsidP="009E0F50">
            <w:pPr>
              <w:pStyle w:val="BodyText"/>
            </w:pPr>
            <w:r>
              <w:t>Domestic Abuse Resource and Training Institute Australia Inc in collaboration with Boronia Pre-release Centre, will deliver a 10-week Trauma-Sensitive Yoga (TCTSY) program for women affected by trauma and post-traumatic stress disorder (PTSD). The program is based on evidence-informed practices developed by the Trauma Centre in Boston and is designed to support healing, recovery, resilience, and self-agency.</w:t>
            </w:r>
          </w:p>
        </w:tc>
        <w:tc>
          <w:tcPr>
            <w:tcW w:w="1418" w:type="dxa"/>
          </w:tcPr>
          <w:p w14:paraId="2B31FE0A" w14:textId="5D4E55A3" w:rsidR="009E0F50" w:rsidRPr="00531866" w:rsidRDefault="009E0F50" w:rsidP="009E0F50">
            <w:pPr>
              <w:pStyle w:val="TableContent"/>
            </w:pPr>
            <w:r w:rsidRPr="003C4B86">
              <w:t>$9,900.00</w:t>
            </w:r>
          </w:p>
        </w:tc>
        <w:tc>
          <w:tcPr>
            <w:tcW w:w="2402" w:type="dxa"/>
          </w:tcPr>
          <w:p w14:paraId="37EB9CB3" w14:textId="58A75F9E" w:rsidR="009E0F50" w:rsidRPr="00531866" w:rsidRDefault="009E0F50" w:rsidP="009E0F50">
            <w:pPr>
              <w:pStyle w:val="TableContent"/>
            </w:pPr>
            <w:r w:rsidRPr="000D1F29">
              <w:t>South-East Metro</w:t>
            </w:r>
          </w:p>
        </w:tc>
      </w:tr>
      <w:tr w:rsidR="009E0F50" w:rsidRPr="00531866" w14:paraId="6AB69B2D" w14:textId="77777777" w:rsidTr="004D749D">
        <w:trPr>
          <w:trHeight w:val="693"/>
        </w:trPr>
        <w:tc>
          <w:tcPr>
            <w:tcW w:w="2689" w:type="dxa"/>
          </w:tcPr>
          <w:p w14:paraId="1AAAC9ED" w14:textId="47211C2A" w:rsidR="009E0F50" w:rsidRPr="00531866" w:rsidRDefault="009E0F50" w:rsidP="009E0F50">
            <w:pPr>
              <w:pStyle w:val="TableContent"/>
            </w:pPr>
            <w:r w:rsidRPr="00EB12A0">
              <w:t>Spear Foundation</w:t>
            </w:r>
          </w:p>
        </w:tc>
        <w:tc>
          <w:tcPr>
            <w:tcW w:w="2467" w:type="dxa"/>
          </w:tcPr>
          <w:p w14:paraId="25114977" w14:textId="5C538A51" w:rsidR="009E0F50" w:rsidRPr="00531866" w:rsidRDefault="009E0F50" w:rsidP="009E0F50">
            <w:pPr>
              <w:pStyle w:val="BodyText"/>
            </w:pPr>
            <w:proofErr w:type="spellStart"/>
            <w:r>
              <w:rPr>
                <w:color w:val="000000"/>
              </w:rPr>
              <w:t>Djeelya</w:t>
            </w:r>
            <w:proofErr w:type="spellEnd"/>
            <w:r>
              <w:rPr>
                <w:color w:val="000000"/>
              </w:rPr>
              <w:t xml:space="preserve"> Nourish 101: Nutrition Toolkit (27-day Menu Cycle)</w:t>
            </w:r>
          </w:p>
        </w:tc>
        <w:tc>
          <w:tcPr>
            <w:tcW w:w="5519" w:type="dxa"/>
          </w:tcPr>
          <w:p w14:paraId="233C0ED5" w14:textId="0BEE3E70" w:rsidR="009E0F50" w:rsidRPr="00531866" w:rsidRDefault="009E0F50" w:rsidP="009E0F50">
            <w:pPr>
              <w:pStyle w:val="BodyText"/>
            </w:pPr>
            <w:r>
              <w:rPr>
                <w:color w:val="000000"/>
              </w:rPr>
              <w:t>Spear Foundation will implement "</w:t>
            </w:r>
            <w:proofErr w:type="spellStart"/>
            <w:r>
              <w:rPr>
                <w:color w:val="000000"/>
              </w:rPr>
              <w:t>Djeelya</w:t>
            </w:r>
            <w:proofErr w:type="spellEnd"/>
            <w:r>
              <w:rPr>
                <w:color w:val="000000"/>
              </w:rPr>
              <w:t xml:space="preserve"> Nourish 101" - a Nutrition Framework and toolkit for a 27-day Menu plan - to support the </w:t>
            </w:r>
            <w:proofErr w:type="spellStart"/>
            <w:r>
              <w:rPr>
                <w:color w:val="000000"/>
              </w:rPr>
              <w:t>Djeelya</w:t>
            </w:r>
            <w:proofErr w:type="spellEnd"/>
            <w:r>
              <w:rPr>
                <w:color w:val="000000"/>
              </w:rPr>
              <w:t xml:space="preserve"> Program for justice-referred Aboriginal young women. Co-designed with an Aboriginal-owned caterer, it provides balanced meals, healthy packed-lunch standards and hydration guidance so participants can learn, heal and lead. The plan becomes a reusable asset for all future </w:t>
            </w:r>
            <w:proofErr w:type="spellStart"/>
            <w:r>
              <w:rPr>
                <w:color w:val="000000"/>
              </w:rPr>
              <w:t>Djeelya</w:t>
            </w:r>
            <w:proofErr w:type="spellEnd"/>
            <w:r>
              <w:rPr>
                <w:color w:val="000000"/>
              </w:rPr>
              <w:t xml:space="preserve"> cohorts.</w:t>
            </w:r>
          </w:p>
        </w:tc>
        <w:tc>
          <w:tcPr>
            <w:tcW w:w="1418" w:type="dxa"/>
          </w:tcPr>
          <w:p w14:paraId="5211C87C" w14:textId="2138408F" w:rsidR="009E0F50" w:rsidRPr="00531866" w:rsidRDefault="009E0F50" w:rsidP="009E0F50">
            <w:pPr>
              <w:pStyle w:val="TableContent"/>
            </w:pPr>
            <w:r w:rsidRPr="003C4B86">
              <w:t>$9,995.00</w:t>
            </w:r>
          </w:p>
        </w:tc>
        <w:tc>
          <w:tcPr>
            <w:tcW w:w="2402" w:type="dxa"/>
          </w:tcPr>
          <w:p w14:paraId="0F45255A" w14:textId="280C1062" w:rsidR="009E0F50" w:rsidRPr="00531866" w:rsidRDefault="009E0F50" w:rsidP="009E0F50">
            <w:pPr>
              <w:pStyle w:val="TableContent"/>
            </w:pPr>
            <w:r w:rsidRPr="000D1F29">
              <w:t>South-West Metro; North-West Metro; South-East Metro; East Metro</w:t>
            </w:r>
          </w:p>
        </w:tc>
      </w:tr>
      <w:tr w:rsidR="009E0F50" w:rsidRPr="00531866" w14:paraId="5348C963" w14:textId="77777777" w:rsidTr="004D749D">
        <w:trPr>
          <w:trHeight w:val="693"/>
        </w:trPr>
        <w:tc>
          <w:tcPr>
            <w:tcW w:w="2689" w:type="dxa"/>
          </w:tcPr>
          <w:p w14:paraId="7A6BF100" w14:textId="5C425152" w:rsidR="009E0F50" w:rsidRPr="00531866" w:rsidRDefault="009E0F50" w:rsidP="009E0F50">
            <w:pPr>
              <w:pStyle w:val="TableContent"/>
            </w:pPr>
            <w:r w:rsidRPr="00EB12A0">
              <w:t>Housing Industry Association Ltd</w:t>
            </w:r>
          </w:p>
        </w:tc>
        <w:tc>
          <w:tcPr>
            <w:tcW w:w="2467" w:type="dxa"/>
          </w:tcPr>
          <w:p w14:paraId="1A097D2C" w14:textId="4DDE0F93" w:rsidR="009E0F50" w:rsidRPr="00531866" w:rsidRDefault="009E0F50" w:rsidP="009E0F50">
            <w:pPr>
              <w:pStyle w:val="BodyText"/>
            </w:pPr>
            <w:r>
              <w:rPr>
                <w:color w:val="000000"/>
              </w:rPr>
              <w:t>She Builds the Future - books into schools</w:t>
            </w:r>
          </w:p>
        </w:tc>
        <w:tc>
          <w:tcPr>
            <w:tcW w:w="5519" w:type="dxa"/>
          </w:tcPr>
          <w:p w14:paraId="7913B14F" w14:textId="5B085FC7" w:rsidR="009E0F50" w:rsidRPr="00531866" w:rsidRDefault="009E0F50" w:rsidP="009E0F50">
            <w:pPr>
              <w:pStyle w:val="BodyText"/>
            </w:pPr>
            <w:r>
              <w:rPr>
                <w:color w:val="000000"/>
              </w:rPr>
              <w:t xml:space="preserve">Housing Industry Association </w:t>
            </w:r>
            <w:proofErr w:type="spellStart"/>
            <w:r>
              <w:rPr>
                <w:color w:val="000000"/>
              </w:rPr>
              <w:t>Ltd's</w:t>
            </w:r>
            <w:proofErr w:type="spellEnd"/>
            <w:r>
              <w:rPr>
                <w:color w:val="000000"/>
              </w:rPr>
              <w:t xml:space="preserve"> 'She Builds the Future' program promotes education, diversity, economic opportunity and </w:t>
            </w:r>
            <w:r>
              <w:rPr>
                <w:color w:val="000000"/>
              </w:rPr>
              <w:lastRenderedPageBreak/>
              <w:t>independence for young females in the residential building industry. The initiative developed in collaboration with MiTek aims to place the book in every primary school across Western Australia in 2026 to inspire future builders, and supplement bringing 'The House That She Built' to life online.</w:t>
            </w:r>
          </w:p>
        </w:tc>
        <w:tc>
          <w:tcPr>
            <w:tcW w:w="1418" w:type="dxa"/>
          </w:tcPr>
          <w:p w14:paraId="038629FA" w14:textId="06116879" w:rsidR="009E0F50" w:rsidRPr="00531866" w:rsidRDefault="009E0F50" w:rsidP="009E0F50">
            <w:pPr>
              <w:pStyle w:val="TableContent"/>
            </w:pPr>
            <w:r w:rsidRPr="003C4B86">
              <w:lastRenderedPageBreak/>
              <w:t>$5,191.75</w:t>
            </w:r>
          </w:p>
        </w:tc>
        <w:tc>
          <w:tcPr>
            <w:tcW w:w="2402" w:type="dxa"/>
          </w:tcPr>
          <w:p w14:paraId="4D04FC1D" w14:textId="71DD4D39" w:rsidR="009E0F50" w:rsidRPr="00531866" w:rsidRDefault="009E0F50" w:rsidP="009E0F50">
            <w:pPr>
              <w:pStyle w:val="TableContent"/>
            </w:pPr>
            <w:r w:rsidRPr="000D1F29">
              <w:t xml:space="preserve">South-West Metro; Western Metro; North-West Metro; </w:t>
            </w:r>
            <w:r w:rsidRPr="000D1F29">
              <w:lastRenderedPageBreak/>
              <w:t>South-East Metro; East Metro</w:t>
            </w:r>
          </w:p>
        </w:tc>
      </w:tr>
      <w:tr w:rsidR="009E0F50" w:rsidRPr="00531866" w14:paraId="5885F8E2" w14:textId="77777777" w:rsidTr="004D749D">
        <w:trPr>
          <w:trHeight w:val="693"/>
        </w:trPr>
        <w:tc>
          <w:tcPr>
            <w:tcW w:w="2689" w:type="dxa"/>
          </w:tcPr>
          <w:p w14:paraId="7D65F653" w14:textId="45684F60" w:rsidR="009E0F50" w:rsidRPr="00531866" w:rsidRDefault="009E0F50" w:rsidP="009E0F50">
            <w:pPr>
              <w:pStyle w:val="TableContent"/>
            </w:pPr>
            <w:proofErr w:type="spellStart"/>
            <w:r w:rsidRPr="00EB12A0">
              <w:lastRenderedPageBreak/>
              <w:t>Olabud</w:t>
            </w:r>
            <w:proofErr w:type="spellEnd"/>
            <w:r w:rsidRPr="00EB12A0">
              <w:t xml:space="preserve"> </w:t>
            </w:r>
            <w:proofErr w:type="spellStart"/>
            <w:r w:rsidRPr="00EB12A0">
              <w:t>Doogethu</w:t>
            </w:r>
            <w:proofErr w:type="spellEnd"/>
            <w:r w:rsidRPr="00EB12A0">
              <w:t xml:space="preserve"> Aboriginal Corporation</w:t>
            </w:r>
          </w:p>
        </w:tc>
        <w:tc>
          <w:tcPr>
            <w:tcW w:w="2467" w:type="dxa"/>
          </w:tcPr>
          <w:p w14:paraId="4BA7B6FA" w14:textId="6B4F4C47" w:rsidR="009E0F50" w:rsidRPr="00531866" w:rsidRDefault="009E0F50" w:rsidP="009E0F50">
            <w:pPr>
              <w:pStyle w:val="BodyText"/>
            </w:pPr>
            <w:r>
              <w:rPr>
                <w:color w:val="000000"/>
              </w:rPr>
              <w:t>Support for Aboriginal Women Caring for At-Risk Children in Halls Creek</w:t>
            </w:r>
          </w:p>
        </w:tc>
        <w:tc>
          <w:tcPr>
            <w:tcW w:w="5519" w:type="dxa"/>
          </w:tcPr>
          <w:p w14:paraId="7C237327" w14:textId="5C2E2AB7" w:rsidR="009E0F50" w:rsidRPr="00531866" w:rsidRDefault="009E0F50" w:rsidP="009E0F50">
            <w:pPr>
              <w:pStyle w:val="BodyText"/>
            </w:pPr>
            <w:proofErr w:type="spellStart"/>
            <w:r>
              <w:rPr>
                <w:color w:val="000000"/>
              </w:rPr>
              <w:t>Olabud</w:t>
            </w:r>
            <w:proofErr w:type="spellEnd"/>
            <w:r>
              <w:rPr>
                <w:color w:val="000000"/>
              </w:rPr>
              <w:t xml:space="preserve"> </w:t>
            </w:r>
            <w:proofErr w:type="spellStart"/>
            <w:r>
              <w:rPr>
                <w:color w:val="000000"/>
              </w:rPr>
              <w:t>Doogethu</w:t>
            </w:r>
            <w:proofErr w:type="spellEnd"/>
            <w:r>
              <w:rPr>
                <w:color w:val="000000"/>
              </w:rPr>
              <w:t xml:space="preserve"> Aboriginal Corporation will undertake a research and engagement project to address the current lack of formal documentation regarding Aboriginal women in Halls Creek who provide care and overnight accommodation to at-risk children in their homes. The project will investigate the financial costs, community benefits, and sources of support associated with this informal care work. It will focus on four town-based Aboriginal communities: </w:t>
            </w:r>
            <w:proofErr w:type="spellStart"/>
            <w:r>
              <w:rPr>
                <w:color w:val="000000"/>
              </w:rPr>
              <w:t>Lundja</w:t>
            </w:r>
            <w:proofErr w:type="spellEnd"/>
            <w:r>
              <w:rPr>
                <w:color w:val="000000"/>
              </w:rPr>
              <w:t xml:space="preserve">, </w:t>
            </w:r>
            <w:proofErr w:type="spellStart"/>
            <w:r>
              <w:rPr>
                <w:color w:val="000000"/>
              </w:rPr>
              <w:t>Mardiwah</w:t>
            </w:r>
            <w:proofErr w:type="spellEnd"/>
            <w:r>
              <w:rPr>
                <w:color w:val="000000"/>
              </w:rPr>
              <w:t xml:space="preserve"> Loop, Nicholson Block, and </w:t>
            </w:r>
            <w:proofErr w:type="spellStart"/>
            <w:r>
              <w:rPr>
                <w:color w:val="000000"/>
              </w:rPr>
              <w:t>Yardgee</w:t>
            </w:r>
            <w:proofErr w:type="spellEnd"/>
            <w:r>
              <w:rPr>
                <w:color w:val="000000"/>
              </w:rPr>
              <w:t>.</w:t>
            </w:r>
          </w:p>
        </w:tc>
        <w:tc>
          <w:tcPr>
            <w:tcW w:w="1418" w:type="dxa"/>
          </w:tcPr>
          <w:p w14:paraId="7705934E" w14:textId="64E1981C" w:rsidR="009E0F50" w:rsidRPr="00531866" w:rsidRDefault="009E0F50" w:rsidP="009E0F50">
            <w:pPr>
              <w:pStyle w:val="TableContent"/>
            </w:pPr>
            <w:r w:rsidRPr="003C4B86">
              <w:t>$10,000.00</w:t>
            </w:r>
          </w:p>
        </w:tc>
        <w:tc>
          <w:tcPr>
            <w:tcW w:w="2402" w:type="dxa"/>
          </w:tcPr>
          <w:p w14:paraId="2BF10628" w14:textId="51E88ACD" w:rsidR="009E0F50" w:rsidRPr="00531866" w:rsidRDefault="009E0F50" w:rsidP="009E0F50">
            <w:pPr>
              <w:pStyle w:val="TableContent"/>
            </w:pPr>
            <w:r w:rsidRPr="000D1F29">
              <w:t>Kimberley</w:t>
            </w:r>
          </w:p>
        </w:tc>
      </w:tr>
      <w:tr w:rsidR="009E0F50" w:rsidRPr="00531866" w14:paraId="2EDABBB9" w14:textId="77777777" w:rsidTr="004D749D">
        <w:trPr>
          <w:trHeight w:val="693"/>
        </w:trPr>
        <w:tc>
          <w:tcPr>
            <w:tcW w:w="2689" w:type="dxa"/>
          </w:tcPr>
          <w:p w14:paraId="26A9D377" w14:textId="053FEC2E" w:rsidR="009E0F50" w:rsidRPr="00531866" w:rsidRDefault="009E0F50" w:rsidP="009E0F50">
            <w:pPr>
              <w:pStyle w:val="TableContent"/>
            </w:pPr>
            <w:r w:rsidRPr="00EB12A0">
              <w:t>South West Community Legal Centre Inc.</w:t>
            </w:r>
          </w:p>
        </w:tc>
        <w:tc>
          <w:tcPr>
            <w:tcW w:w="2467" w:type="dxa"/>
          </w:tcPr>
          <w:p w14:paraId="5C223C25" w14:textId="7229901C" w:rsidR="009E0F50" w:rsidRPr="00531866" w:rsidRDefault="009E0F50" w:rsidP="009E0F50">
            <w:pPr>
              <w:pStyle w:val="BodyText"/>
            </w:pPr>
            <w:r>
              <w:rPr>
                <w:color w:val="000000"/>
              </w:rPr>
              <w:t>Safe Support</w:t>
            </w:r>
          </w:p>
        </w:tc>
        <w:tc>
          <w:tcPr>
            <w:tcW w:w="5519" w:type="dxa"/>
          </w:tcPr>
          <w:p w14:paraId="286A2EF6" w14:textId="3F8A7603" w:rsidR="009E0F50" w:rsidRPr="00531866" w:rsidRDefault="009E0F50" w:rsidP="009E0F50">
            <w:pPr>
              <w:pStyle w:val="BodyText"/>
            </w:pPr>
            <w:r>
              <w:rPr>
                <w:color w:val="000000"/>
              </w:rPr>
              <w:t xml:space="preserve">South West Community Legal Centre Inc. will deliver the "Safe Support" initiative, taking a primary prevention approach to family and domestic violence by addressing its underlying drivers and promoting gender equality. The program will use evidence-based screening to </w:t>
            </w:r>
            <w:r>
              <w:rPr>
                <w:color w:val="000000"/>
              </w:rPr>
              <w:lastRenderedPageBreak/>
              <w:t>identify women at high risk and provide tailored referral support to help them navigate legal pathways. Guided by a “No Closed Door” vision, the project will bridge service gaps and strengthen access to safety and justice.</w:t>
            </w:r>
          </w:p>
        </w:tc>
        <w:tc>
          <w:tcPr>
            <w:tcW w:w="1418" w:type="dxa"/>
          </w:tcPr>
          <w:p w14:paraId="0C984CD7" w14:textId="3D95662E" w:rsidR="009E0F50" w:rsidRPr="00531866" w:rsidRDefault="009E0F50" w:rsidP="009E0F50">
            <w:pPr>
              <w:pStyle w:val="TableContent"/>
            </w:pPr>
            <w:r w:rsidRPr="003C4B86">
              <w:lastRenderedPageBreak/>
              <w:t>$9,916.00</w:t>
            </w:r>
          </w:p>
        </w:tc>
        <w:tc>
          <w:tcPr>
            <w:tcW w:w="2402" w:type="dxa"/>
          </w:tcPr>
          <w:p w14:paraId="49C893CB" w14:textId="6121C77E" w:rsidR="009E0F50" w:rsidRPr="00531866" w:rsidRDefault="009E0F50" w:rsidP="009E0F50">
            <w:pPr>
              <w:pStyle w:val="TableContent"/>
            </w:pPr>
            <w:r w:rsidRPr="000D1F29">
              <w:t>South West</w:t>
            </w:r>
          </w:p>
        </w:tc>
      </w:tr>
      <w:tr w:rsidR="009E0F50" w:rsidRPr="00531866" w14:paraId="3BB841F7" w14:textId="77777777" w:rsidTr="004D749D">
        <w:trPr>
          <w:trHeight w:val="693"/>
        </w:trPr>
        <w:tc>
          <w:tcPr>
            <w:tcW w:w="2689" w:type="dxa"/>
          </w:tcPr>
          <w:p w14:paraId="18606E0B" w14:textId="71D7174C" w:rsidR="009E0F50" w:rsidRPr="00531866" w:rsidRDefault="000C5D94" w:rsidP="009E0F50">
            <w:pPr>
              <w:pStyle w:val="TableContent"/>
            </w:pPr>
            <w:r w:rsidRPr="000C5D94">
              <w:t>Women's Legal Service WA Inc</w:t>
            </w:r>
          </w:p>
        </w:tc>
        <w:tc>
          <w:tcPr>
            <w:tcW w:w="2467" w:type="dxa"/>
          </w:tcPr>
          <w:p w14:paraId="466A5A90" w14:textId="3DDE2409" w:rsidR="009E0F50" w:rsidRPr="00531866" w:rsidRDefault="009E0F50" w:rsidP="009E0F50">
            <w:pPr>
              <w:pStyle w:val="BodyText"/>
            </w:pPr>
            <w:r>
              <w:rPr>
                <w:color w:val="000000"/>
              </w:rPr>
              <w:t>Technology-Facilitated Abuse: Education &amp; Prevention Pilot</w:t>
            </w:r>
          </w:p>
        </w:tc>
        <w:tc>
          <w:tcPr>
            <w:tcW w:w="5519" w:type="dxa"/>
          </w:tcPr>
          <w:p w14:paraId="7921137C" w14:textId="0E194A09" w:rsidR="009E0F50" w:rsidRPr="00531866" w:rsidRDefault="009E0F50" w:rsidP="009E0F50">
            <w:pPr>
              <w:pStyle w:val="BodyText"/>
            </w:pPr>
            <w:r>
              <w:rPr>
                <w:color w:val="000000"/>
              </w:rPr>
              <w:t>Women's Legal Service WA Inc will develop resources and deliver education workshops to prevent and respond to technology-facilitated abuse affecting WA women. In partnership with family, domestic and sexual violence services, the pilot will provide practical, accessible tools for service providers. Regional workshops will be tailored with local partners to ensure resources are culturally responsive and meet the unique needs of each community.</w:t>
            </w:r>
          </w:p>
        </w:tc>
        <w:tc>
          <w:tcPr>
            <w:tcW w:w="1418" w:type="dxa"/>
          </w:tcPr>
          <w:p w14:paraId="04F57FB3" w14:textId="277DBDCA" w:rsidR="009E0F50" w:rsidRPr="00531866" w:rsidRDefault="009E0F50" w:rsidP="009E0F50">
            <w:pPr>
              <w:pStyle w:val="TableContent"/>
            </w:pPr>
            <w:r w:rsidRPr="003C4B86">
              <w:t>$10,000.00</w:t>
            </w:r>
          </w:p>
        </w:tc>
        <w:tc>
          <w:tcPr>
            <w:tcW w:w="2402" w:type="dxa"/>
          </w:tcPr>
          <w:p w14:paraId="5930AF0C" w14:textId="2B5C14EF" w:rsidR="009E0F50" w:rsidRPr="00531866" w:rsidRDefault="009E0F50" w:rsidP="009E0F50">
            <w:pPr>
              <w:pStyle w:val="TableContent"/>
            </w:pPr>
            <w:r w:rsidRPr="000D1F29">
              <w:t>Goldfields-Esperance;</w:t>
            </w:r>
            <w:r w:rsidR="004D05C8">
              <w:br/>
            </w:r>
            <w:r w:rsidRPr="000D1F29">
              <w:t>Mid West; Pilbara; South-West Metro; Western Metro</w:t>
            </w:r>
          </w:p>
        </w:tc>
      </w:tr>
      <w:tr w:rsidR="009E0F50" w:rsidRPr="00531866" w14:paraId="4B44E04C" w14:textId="77777777" w:rsidTr="004D749D">
        <w:trPr>
          <w:trHeight w:val="693"/>
        </w:trPr>
        <w:tc>
          <w:tcPr>
            <w:tcW w:w="2689" w:type="dxa"/>
          </w:tcPr>
          <w:p w14:paraId="26C77C12" w14:textId="3C9C1937" w:rsidR="009E0F50" w:rsidRPr="00531866" w:rsidRDefault="009E0F50" w:rsidP="009E0F50">
            <w:pPr>
              <w:pStyle w:val="TableContent"/>
            </w:pPr>
            <w:r w:rsidRPr="00EB12A0">
              <w:t>Newman Women's Shelter</w:t>
            </w:r>
          </w:p>
        </w:tc>
        <w:tc>
          <w:tcPr>
            <w:tcW w:w="2467" w:type="dxa"/>
          </w:tcPr>
          <w:p w14:paraId="4DEF8220" w14:textId="7B39E9CC" w:rsidR="009E0F50" w:rsidRPr="00531866" w:rsidRDefault="009E0F50" w:rsidP="009E0F50">
            <w:pPr>
              <w:pStyle w:val="BodyText"/>
            </w:pPr>
            <w:r>
              <w:rPr>
                <w:color w:val="000000"/>
              </w:rPr>
              <w:t>Women's Economic Empowerment Workshops</w:t>
            </w:r>
          </w:p>
        </w:tc>
        <w:tc>
          <w:tcPr>
            <w:tcW w:w="5519" w:type="dxa"/>
          </w:tcPr>
          <w:p w14:paraId="785FD951" w14:textId="77CB2F97" w:rsidR="009E0F50" w:rsidRPr="00531866" w:rsidRDefault="009E0F50" w:rsidP="009E0F50">
            <w:pPr>
              <w:pStyle w:val="BodyText"/>
            </w:pPr>
            <w:r>
              <w:rPr>
                <w:color w:val="000000"/>
              </w:rPr>
              <w:t xml:space="preserve">Newman Women's Shelter will deliver Economic Empowerment Workshops for regional women experiencing family and domestic violence in Newman. Facilitated sessions will focus on skills development and social enterprise, aiming to build participants’ confidence, resilience, and pathways to sustainable income. The project empowers women to rebuild independence and </w:t>
            </w:r>
            <w:r>
              <w:rPr>
                <w:color w:val="000000"/>
              </w:rPr>
              <w:lastRenderedPageBreak/>
              <w:t>stability, aligning with Stronger Together: WA’s Plan for Gender Equality.</w:t>
            </w:r>
          </w:p>
        </w:tc>
        <w:tc>
          <w:tcPr>
            <w:tcW w:w="1418" w:type="dxa"/>
          </w:tcPr>
          <w:p w14:paraId="1020F483" w14:textId="1DE6C860" w:rsidR="009E0F50" w:rsidRPr="00531866" w:rsidRDefault="009E0F50" w:rsidP="009E0F50">
            <w:pPr>
              <w:pStyle w:val="TableContent"/>
            </w:pPr>
            <w:r w:rsidRPr="003C4B86">
              <w:lastRenderedPageBreak/>
              <w:t>$10,000.00</w:t>
            </w:r>
          </w:p>
        </w:tc>
        <w:tc>
          <w:tcPr>
            <w:tcW w:w="2402" w:type="dxa"/>
          </w:tcPr>
          <w:p w14:paraId="5B50F146" w14:textId="598413B2" w:rsidR="009E0F50" w:rsidRPr="00531866" w:rsidRDefault="009E0F50" w:rsidP="009E0F50">
            <w:pPr>
              <w:pStyle w:val="TableContent"/>
            </w:pPr>
            <w:r w:rsidRPr="000D1F29">
              <w:t>Pilbara</w:t>
            </w:r>
          </w:p>
        </w:tc>
      </w:tr>
      <w:tr w:rsidR="009E0F50" w:rsidRPr="00531866" w14:paraId="17929ACD" w14:textId="77777777" w:rsidTr="004D749D">
        <w:trPr>
          <w:trHeight w:val="693"/>
        </w:trPr>
        <w:tc>
          <w:tcPr>
            <w:tcW w:w="2689" w:type="dxa"/>
          </w:tcPr>
          <w:p w14:paraId="2C5DA398" w14:textId="4B802DDF" w:rsidR="009E0F50" w:rsidRPr="00531866" w:rsidRDefault="009E0F50" w:rsidP="009E0F50">
            <w:pPr>
              <w:pStyle w:val="TableContent"/>
            </w:pPr>
            <w:r w:rsidRPr="00EB12A0">
              <w:t>Endometriosis Western Australia Inc.</w:t>
            </w:r>
          </w:p>
        </w:tc>
        <w:tc>
          <w:tcPr>
            <w:tcW w:w="2467" w:type="dxa"/>
          </w:tcPr>
          <w:p w14:paraId="1F59CBD9" w14:textId="48EDB70E" w:rsidR="009E0F50" w:rsidRPr="00531866" w:rsidRDefault="009E0F50" w:rsidP="009E0F50">
            <w:pPr>
              <w:pStyle w:val="BodyText"/>
            </w:pPr>
            <w:r>
              <w:rPr>
                <w:color w:val="000000"/>
              </w:rPr>
              <w:t>STEPP Expansion: Statewide Equitable Nurse-Led Support and Education for Endometriosis Sufferers</w:t>
            </w:r>
          </w:p>
        </w:tc>
        <w:tc>
          <w:tcPr>
            <w:tcW w:w="5519" w:type="dxa"/>
          </w:tcPr>
          <w:p w14:paraId="52EDFE33" w14:textId="62947005" w:rsidR="009E0F50" w:rsidRPr="00531866" w:rsidRDefault="009E0F50" w:rsidP="009E0F50">
            <w:pPr>
              <w:pStyle w:val="BodyText"/>
            </w:pPr>
            <w:r>
              <w:rPr>
                <w:color w:val="000000"/>
              </w:rPr>
              <w:t>Building on a proven, nurse-led telephone support and education model, Endometriosis Western Australia Inc. will expand STEPP’s statewide reach, providing evidence-based clinical education, self-management tools, and psychosocial support to women and gender-diverse people newly diagnosed with endometriosis across Western Australia, prioritising underserved, rural, Aboriginal, CALD, and LGBTQIA+ communities.</w:t>
            </w:r>
          </w:p>
        </w:tc>
        <w:tc>
          <w:tcPr>
            <w:tcW w:w="1418" w:type="dxa"/>
          </w:tcPr>
          <w:p w14:paraId="0F3DD77A" w14:textId="39A1C41F" w:rsidR="009E0F50" w:rsidRPr="00531866" w:rsidRDefault="009E0F50" w:rsidP="009E0F50">
            <w:pPr>
              <w:pStyle w:val="TableContent"/>
            </w:pPr>
            <w:r w:rsidRPr="003C4B86">
              <w:t>$10,000.00</w:t>
            </w:r>
          </w:p>
        </w:tc>
        <w:tc>
          <w:tcPr>
            <w:tcW w:w="2402" w:type="dxa"/>
          </w:tcPr>
          <w:p w14:paraId="52801AD7" w14:textId="254296E6" w:rsidR="009E0F50" w:rsidRPr="00531866" w:rsidRDefault="009E0F50" w:rsidP="009E0F50">
            <w:pPr>
              <w:pStyle w:val="TableContent"/>
            </w:pPr>
            <w:r w:rsidRPr="000D1F29">
              <w:t>Goldfields-Esperance; Great Southern; Kimberley;</w:t>
            </w:r>
            <w:r w:rsidR="004D05C8">
              <w:br/>
            </w:r>
            <w:r w:rsidRPr="000D1F29">
              <w:t>South-West Metro; Western Metro</w:t>
            </w:r>
          </w:p>
        </w:tc>
      </w:tr>
      <w:tr w:rsidR="009E0F50" w:rsidRPr="00531866" w14:paraId="13621A65" w14:textId="77777777" w:rsidTr="004D749D">
        <w:trPr>
          <w:trHeight w:val="693"/>
        </w:trPr>
        <w:tc>
          <w:tcPr>
            <w:tcW w:w="2689" w:type="dxa"/>
          </w:tcPr>
          <w:p w14:paraId="6E496524" w14:textId="0F6C928A" w:rsidR="009E0F50" w:rsidRPr="00531866" w:rsidRDefault="009E0F50" w:rsidP="009E0F50">
            <w:pPr>
              <w:pStyle w:val="TableContent"/>
            </w:pPr>
            <w:r w:rsidRPr="00EB12A0">
              <w:t>Denmark Arts Council Incorporated</w:t>
            </w:r>
          </w:p>
        </w:tc>
        <w:tc>
          <w:tcPr>
            <w:tcW w:w="2467" w:type="dxa"/>
          </w:tcPr>
          <w:p w14:paraId="10B9F88A" w14:textId="739A6B25" w:rsidR="009E0F50" w:rsidRPr="00531866" w:rsidRDefault="009E0F50" w:rsidP="009E0F50">
            <w:pPr>
              <w:pStyle w:val="BodyText"/>
            </w:pPr>
            <w:r>
              <w:rPr>
                <w:color w:val="000000"/>
              </w:rPr>
              <w:t>The Women’s Catch Up</w:t>
            </w:r>
          </w:p>
        </w:tc>
        <w:tc>
          <w:tcPr>
            <w:tcW w:w="5519" w:type="dxa"/>
          </w:tcPr>
          <w:p w14:paraId="49806D52" w14:textId="060D69E6" w:rsidR="009E0F50" w:rsidRPr="00531866" w:rsidRDefault="009E0F50" w:rsidP="009E0F50">
            <w:pPr>
              <w:pStyle w:val="BodyText"/>
            </w:pPr>
            <w:r>
              <w:rPr>
                <w:color w:val="000000"/>
              </w:rPr>
              <w:t>Denmark Arts Council Incorporated will coordinate 'The Women’s Catch Up' - a community focused art program designed to promote the health, wellbeing, and social inclusion of women in our region. The project will offer a series of professionally facilitated weekly art workshops that provide a safe, welcoming, and supportive environment for women to express themselves creatively, develop new skills, and build meaningful lasting social connections.</w:t>
            </w:r>
          </w:p>
        </w:tc>
        <w:tc>
          <w:tcPr>
            <w:tcW w:w="1418" w:type="dxa"/>
          </w:tcPr>
          <w:p w14:paraId="5EEEBC8D" w14:textId="0DEDAA6A" w:rsidR="009E0F50" w:rsidRPr="00531866" w:rsidRDefault="009E0F50" w:rsidP="009E0F50">
            <w:pPr>
              <w:pStyle w:val="TableContent"/>
            </w:pPr>
            <w:r w:rsidRPr="003C4B86">
              <w:t>$10,000.00</w:t>
            </w:r>
          </w:p>
        </w:tc>
        <w:tc>
          <w:tcPr>
            <w:tcW w:w="2402" w:type="dxa"/>
          </w:tcPr>
          <w:p w14:paraId="07C45E4B" w14:textId="4F3C1279" w:rsidR="009E0F50" w:rsidRPr="00531866" w:rsidRDefault="009E0F50" w:rsidP="009E0F50">
            <w:pPr>
              <w:pStyle w:val="TableContent"/>
            </w:pPr>
            <w:r w:rsidRPr="000D1F29">
              <w:t>Great Southern</w:t>
            </w:r>
          </w:p>
        </w:tc>
      </w:tr>
      <w:tr w:rsidR="009E0F50" w:rsidRPr="00531866" w14:paraId="3BF717C9" w14:textId="77777777" w:rsidTr="004D749D">
        <w:trPr>
          <w:trHeight w:val="693"/>
        </w:trPr>
        <w:tc>
          <w:tcPr>
            <w:tcW w:w="2689" w:type="dxa"/>
          </w:tcPr>
          <w:p w14:paraId="0BF357E2" w14:textId="533E7965" w:rsidR="009E0F50" w:rsidRPr="00531866" w:rsidRDefault="009E0F50" w:rsidP="009E0F50">
            <w:pPr>
              <w:pStyle w:val="TableContent"/>
            </w:pPr>
            <w:r w:rsidRPr="00EB12A0">
              <w:lastRenderedPageBreak/>
              <w:t>Shire of Carnarvon</w:t>
            </w:r>
          </w:p>
        </w:tc>
        <w:tc>
          <w:tcPr>
            <w:tcW w:w="2467" w:type="dxa"/>
          </w:tcPr>
          <w:p w14:paraId="117F3AD1" w14:textId="4BA44EFB" w:rsidR="009E0F50" w:rsidRPr="00531866" w:rsidRDefault="009E0F50" w:rsidP="009E0F50">
            <w:pPr>
              <w:pStyle w:val="BodyText"/>
            </w:pPr>
            <w:r>
              <w:rPr>
                <w:color w:val="000000"/>
              </w:rPr>
              <w:t>Monday Art Club – Women Creating Connection</w:t>
            </w:r>
          </w:p>
        </w:tc>
        <w:tc>
          <w:tcPr>
            <w:tcW w:w="5519" w:type="dxa"/>
          </w:tcPr>
          <w:p w14:paraId="590022DD" w14:textId="7976D663" w:rsidR="009E0F50" w:rsidRPr="00531866" w:rsidRDefault="009E0F50" w:rsidP="009E0F50">
            <w:pPr>
              <w:pStyle w:val="BodyText"/>
            </w:pPr>
            <w:r>
              <w:rPr>
                <w:color w:val="000000"/>
              </w:rPr>
              <w:t>Shire of Carnarvon will facilitate the Monday Art Club bringing women in Carnarvon together each Monday morning to connect, create, and support one another in a welcoming environment. Through guided and self-directed art sessions, participants will explore creativity, build confidence, and develop meaningful connections, starting each week with purpose, positivity, and a strengthened sense of belonging.</w:t>
            </w:r>
          </w:p>
        </w:tc>
        <w:tc>
          <w:tcPr>
            <w:tcW w:w="1418" w:type="dxa"/>
          </w:tcPr>
          <w:p w14:paraId="7546684D" w14:textId="71AF4D1E" w:rsidR="009E0F50" w:rsidRPr="00531866" w:rsidRDefault="009E0F50" w:rsidP="009E0F50">
            <w:pPr>
              <w:pStyle w:val="TableContent"/>
            </w:pPr>
            <w:r w:rsidRPr="003C4B86">
              <w:t>$10,000.00</w:t>
            </w:r>
          </w:p>
        </w:tc>
        <w:tc>
          <w:tcPr>
            <w:tcW w:w="2402" w:type="dxa"/>
          </w:tcPr>
          <w:p w14:paraId="291C4105" w14:textId="4E9D8B1E" w:rsidR="009E0F50" w:rsidRPr="00531866" w:rsidRDefault="009E0F50" w:rsidP="009E0F50">
            <w:pPr>
              <w:pStyle w:val="TableContent"/>
            </w:pPr>
            <w:r w:rsidRPr="000D1F29">
              <w:t>Gascoyne</w:t>
            </w:r>
          </w:p>
        </w:tc>
      </w:tr>
      <w:tr w:rsidR="009E0F50" w:rsidRPr="00531866" w14:paraId="13429F05" w14:textId="77777777" w:rsidTr="004D749D">
        <w:trPr>
          <w:trHeight w:val="693"/>
        </w:trPr>
        <w:tc>
          <w:tcPr>
            <w:tcW w:w="2689" w:type="dxa"/>
          </w:tcPr>
          <w:p w14:paraId="115851FD" w14:textId="1EC3F98D" w:rsidR="009E0F50" w:rsidRPr="00531866" w:rsidRDefault="009E0F50" w:rsidP="009E0F50">
            <w:pPr>
              <w:pStyle w:val="TableContent"/>
            </w:pPr>
            <w:proofErr w:type="spellStart"/>
            <w:r w:rsidRPr="00EB12A0">
              <w:t>Karrayili</w:t>
            </w:r>
            <w:proofErr w:type="spellEnd"/>
            <w:r w:rsidRPr="00EB12A0">
              <w:t xml:space="preserve"> Adult Education Centre Aboriginal Corporation</w:t>
            </w:r>
          </w:p>
        </w:tc>
        <w:tc>
          <w:tcPr>
            <w:tcW w:w="2467" w:type="dxa"/>
          </w:tcPr>
          <w:p w14:paraId="044E13D5" w14:textId="5F0B80AF" w:rsidR="009E0F50" w:rsidRPr="00531866" w:rsidRDefault="009E0F50" w:rsidP="009E0F50">
            <w:pPr>
              <w:pStyle w:val="BodyText"/>
            </w:pPr>
            <w:proofErr w:type="spellStart"/>
            <w:r>
              <w:rPr>
                <w:color w:val="000000"/>
              </w:rPr>
              <w:t>Karrayili</w:t>
            </w:r>
            <w:proofErr w:type="spellEnd"/>
            <w:r>
              <w:rPr>
                <w:color w:val="000000"/>
              </w:rPr>
              <w:t xml:space="preserve"> Women's Wellbeing Evenings: Building Community Health and Resilience</w:t>
            </w:r>
          </w:p>
        </w:tc>
        <w:tc>
          <w:tcPr>
            <w:tcW w:w="5519" w:type="dxa"/>
          </w:tcPr>
          <w:p w14:paraId="425B7958" w14:textId="5754A8FE" w:rsidR="009E0F50" w:rsidRPr="00531866" w:rsidRDefault="009E0F50" w:rsidP="009E0F50">
            <w:pPr>
              <w:pStyle w:val="BodyText"/>
            </w:pPr>
            <w:proofErr w:type="spellStart"/>
            <w:r>
              <w:rPr>
                <w:color w:val="000000"/>
              </w:rPr>
              <w:t>Karrayili</w:t>
            </w:r>
            <w:proofErr w:type="spellEnd"/>
            <w:r>
              <w:rPr>
                <w:color w:val="000000"/>
              </w:rPr>
              <w:t xml:space="preserve"> Adult Education Centre (Aboriginal Corporation) will host two collaborative self-care events for women in the Fitzroy Valley, focusing on mental, emotional, and physical health. Building on a successful pilot in 2025, these inclusive gatherings will feature health talks, self-care demonstrations, meals, and resources to promote wellbeing, reduce isolation, and connect women to local support services in a culturally safe space.</w:t>
            </w:r>
          </w:p>
        </w:tc>
        <w:tc>
          <w:tcPr>
            <w:tcW w:w="1418" w:type="dxa"/>
          </w:tcPr>
          <w:p w14:paraId="4A4AE9D4" w14:textId="6D2E62F8" w:rsidR="009E0F50" w:rsidRPr="00531866" w:rsidRDefault="009E0F50" w:rsidP="009E0F50">
            <w:pPr>
              <w:pStyle w:val="TableContent"/>
            </w:pPr>
            <w:r w:rsidRPr="003C4B86">
              <w:t>$10,000.00</w:t>
            </w:r>
          </w:p>
        </w:tc>
        <w:tc>
          <w:tcPr>
            <w:tcW w:w="2402" w:type="dxa"/>
          </w:tcPr>
          <w:p w14:paraId="36F94115" w14:textId="0CEECB9A" w:rsidR="009E0F50" w:rsidRPr="00531866" w:rsidRDefault="009E0F50" w:rsidP="009E0F50">
            <w:pPr>
              <w:pStyle w:val="TableContent"/>
            </w:pPr>
            <w:r w:rsidRPr="000D1F29">
              <w:t>Kimberley</w:t>
            </w:r>
          </w:p>
        </w:tc>
      </w:tr>
      <w:tr w:rsidR="004D749D" w:rsidRPr="000D1F29" w14:paraId="68E6D1A3" w14:textId="77777777" w:rsidTr="004D749D">
        <w:trPr>
          <w:trHeight w:val="693"/>
        </w:trPr>
        <w:tc>
          <w:tcPr>
            <w:tcW w:w="2689" w:type="dxa"/>
            <w:vAlign w:val="center"/>
          </w:tcPr>
          <w:p w14:paraId="57135FD5" w14:textId="77777777" w:rsidR="004D749D" w:rsidRPr="00660935" w:rsidRDefault="004D749D" w:rsidP="007676A7">
            <w:pPr>
              <w:pStyle w:val="TableContent"/>
            </w:pPr>
            <w:proofErr w:type="spellStart"/>
            <w:r w:rsidRPr="00660935">
              <w:rPr>
                <w:color w:val="000000"/>
              </w:rPr>
              <w:t>Reclink</w:t>
            </w:r>
            <w:proofErr w:type="spellEnd"/>
            <w:r w:rsidRPr="00660935">
              <w:rPr>
                <w:color w:val="000000"/>
              </w:rPr>
              <w:t xml:space="preserve"> Australia</w:t>
            </w:r>
          </w:p>
        </w:tc>
        <w:tc>
          <w:tcPr>
            <w:tcW w:w="2467" w:type="dxa"/>
            <w:vAlign w:val="center"/>
          </w:tcPr>
          <w:p w14:paraId="1D505E66" w14:textId="77777777" w:rsidR="004D749D" w:rsidRPr="00660935" w:rsidRDefault="004D749D" w:rsidP="007676A7">
            <w:pPr>
              <w:pStyle w:val="BodyText"/>
              <w:rPr>
                <w:color w:val="000000"/>
              </w:rPr>
            </w:pPr>
            <w:proofErr w:type="spellStart"/>
            <w:r w:rsidRPr="00660935">
              <w:rPr>
                <w:color w:val="000000"/>
              </w:rPr>
              <w:t>Reclink</w:t>
            </w:r>
            <w:proofErr w:type="spellEnd"/>
            <w:r w:rsidRPr="00660935">
              <w:rPr>
                <w:color w:val="000000"/>
              </w:rPr>
              <w:t xml:space="preserve"> WA Women’s Health and Wellbeing Program</w:t>
            </w:r>
          </w:p>
        </w:tc>
        <w:tc>
          <w:tcPr>
            <w:tcW w:w="5519" w:type="dxa"/>
            <w:vAlign w:val="center"/>
          </w:tcPr>
          <w:p w14:paraId="2F4237BD" w14:textId="77777777" w:rsidR="004D749D" w:rsidRPr="00660935" w:rsidRDefault="004D749D" w:rsidP="007676A7">
            <w:pPr>
              <w:pStyle w:val="BodyText"/>
              <w:rPr>
                <w:color w:val="000000"/>
              </w:rPr>
            </w:pPr>
            <w:proofErr w:type="spellStart"/>
            <w:r w:rsidRPr="00660935">
              <w:rPr>
                <w:color w:val="000000"/>
              </w:rPr>
              <w:t>Reclink</w:t>
            </w:r>
            <w:proofErr w:type="spellEnd"/>
            <w:r w:rsidRPr="00660935">
              <w:rPr>
                <w:color w:val="000000"/>
              </w:rPr>
              <w:t xml:space="preserve"> WA Women’s Health and Wellbeing program provides free health and wellbeing programs for all women to improve their physical and mental health and increase their social </w:t>
            </w:r>
            <w:r w:rsidRPr="00660935">
              <w:rPr>
                <w:color w:val="000000"/>
              </w:rPr>
              <w:lastRenderedPageBreak/>
              <w:t>connectedness and wellbeing. All programs are held in a safe and cultural inclusive space to ensure all women are able to attend. Programs are co-designed to ensure they meet the needs of the participants.</w:t>
            </w:r>
          </w:p>
        </w:tc>
        <w:tc>
          <w:tcPr>
            <w:tcW w:w="1418" w:type="dxa"/>
            <w:vAlign w:val="center"/>
          </w:tcPr>
          <w:p w14:paraId="1A61087B" w14:textId="77777777" w:rsidR="004D749D" w:rsidRPr="003C4B86" w:rsidRDefault="004D749D" w:rsidP="007676A7">
            <w:pPr>
              <w:pStyle w:val="TableContent"/>
            </w:pPr>
            <w:r>
              <w:rPr>
                <w:color w:val="000000"/>
              </w:rPr>
              <w:lastRenderedPageBreak/>
              <w:t>$10,000.00</w:t>
            </w:r>
          </w:p>
        </w:tc>
        <w:tc>
          <w:tcPr>
            <w:tcW w:w="2402" w:type="dxa"/>
            <w:vAlign w:val="center"/>
          </w:tcPr>
          <w:p w14:paraId="178F20B7" w14:textId="77777777" w:rsidR="004D749D" w:rsidRPr="000D1F29" w:rsidRDefault="004D749D" w:rsidP="007676A7">
            <w:pPr>
              <w:pStyle w:val="TableContent"/>
            </w:pPr>
            <w:r>
              <w:rPr>
                <w:color w:val="000000"/>
              </w:rPr>
              <w:t>South-West Metro; North-West Metro; South-East Metro</w:t>
            </w:r>
          </w:p>
        </w:tc>
      </w:tr>
      <w:tr w:rsidR="004D749D" w:rsidRPr="000D1F29" w14:paraId="57094BD3" w14:textId="77777777" w:rsidTr="004D749D">
        <w:trPr>
          <w:trHeight w:val="693"/>
        </w:trPr>
        <w:tc>
          <w:tcPr>
            <w:tcW w:w="2689" w:type="dxa"/>
            <w:vAlign w:val="center"/>
          </w:tcPr>
          <w:p w14:paraId="7A054D27" w14:textId="77777777" w:rsidR="004D749D" w:rsidRPr="00660935" w:rsidRDefault="004D749D" w:rsidP="007676A7">
            <w:pPr>
              <w:pStyle w:val="TableContent"/>
            </w:pPr>
            <w:r w:rsidRPr="00660935">
              <w:rPr>
                <w:color w:val="000000"/>
              </w:rPr>
              <w:t>Belmont Business Enterprise Centre Inc</w:t>
            </w:r>
          </w:p>
        </w:tc>
        <w:tc>
          <w:tcPr>
            <w:tcW w:w="2467" w:type="dxa"/>
            <w:vAlign w:val="center"/>
          </w:tcPr>
          <w:p w14:paraId="386DC36F" w14:textId="77777777" w:rsidR="004D749D" w:rsidRPr="00660935" w:rsidRDefault="004D749D" w:rsidP="007676A7">
            <w:pPr>
              <w:pStyle w:val="BodyText"/>
              <w:rPr>
                <w:color w:val="000000"/>
              </w:rPr>
            </w:pPr>
            <w:r w:rsidRPr="00660935">
              <w:rPr>
                <w:color w:val="000000"/>
              </w:rPr>
              <w:t xml:space="preserve">BEC </w:t>
            </w:r>
            <w:proofErr w:type="spellStart"/>
            <w:r w:rsidRPr="00660935">
              <w:rPr>
                <w:color w:val="000000"/>
              </w:rPr>
              <w:t>Womens</w:t>
            </w:r>
            <w:proofErr w:type="spellEnd"/>
            <w:r w:rsidRPr="00660935">
              <w:rPr>
                <w:color w:val="000000"/>
              </w:rPr>
              <w:t xml:space="preserve"> Empowerment Project</w:t>
            </w:r>
          </w:p>
        </w:tc>
        <w:tc>
          <w:tcPr>
            <w:tcW w:w="5519" w:type="dxa"/>
            <w:vAlign w:val="center"/>
          </w:tcPr>
          <w:p w14:paraId="65EF5350" w14:textId="77777777" w:rsidR="004D749D" w:rsidRPr="00660935" w:rsidRDefault="004D749D" w:rsidP="007676A7">
            <w:pPr>
              <w:pStyle w:val="BodyText"/>
              <w:rPr>
                <w:color w:val="000000"/>
              </w:rPr>
            </w:pPr>
            <w:r w:rsidRPr="00660935">
              <w:rPr>
                <w:color w:val="000000"/>
              </w:rPr>
              <w:t>Belmont Business Enterprise Centre Inc will deliver the BEC Women’s Empowerment Project, providing free training to women across Perth and regional Western Australia through a combination of online webinars and in-person forums. The program aims to support women’s economic independence, wellbeing, leadership, and safety.</w:t>
            </w:r>
          </w:p>
        </w:tc>
        <w:tc>
          <w:tcPr>
            <w:tcW w:w="1418" w:type="dxa"/>
            <w:vAlign w:val="center"/>
          </w:tcPr>
          <w:p w14:paraId="295C03AC" w14:textId="77777777" w:rsidR="004D749D" w:rsidRPr="003C4B86" w:rsidRDefault="004D749D" w:rsidP="007676A7">
            <w:pPr>
              <w:pStyle w:val="TableContent"/>
            </w:pPr>
            <w:r>
              <w:rPr>
                <w:color w:val="000000"/>
              </w:rPr>
              <w:t>$9,750.00</w:t>
            </w:r>
          </w:p>
        </w:tc>
        <w:tc>
          <w:tcPr>
            <w:tcW w:w="2402" w:type="dxa"/>
            <w:vAlign w:val="center"/>
          </w:tcPr>
          <w:p w14:paraId="4A05AEA2" w14:textId="77777777" w:rsidR="004D749D" w:rsidRPr="000D1F29" w:rsidRDefault="004D749D" w:rsidP="007676A7">
            <w:pPr>
              <w:pStyle w:val="TableContent"/>
            </w:pPr>
            <w:r>
              <w:rPr>
                <w:color w:val="000000"/>
              </w:rPr>
              <w:t>South-West Metro; Western Metro; North-West Metro; South-East Metro; East Metro</w:t>
            </w:r>
          </w:p>
        </w:tc>
      </w:tr>
      <w:tr w:rsidR="004D749D" w:rsidRPr="000D1F29" w14:paraId="21607936" w14:textId="77777777" w:rsidTr="004D749D">
        <w:trPr>
          <w:trHeight w:val="693"/>
        </w:trPr>
        <w:tc>
          <w:tcPr>
            <w:tcW w:w="2689" w:type="dxa"/>
            <w:vAlign w:val="center"/>
          </w:tcPr>
          <w:p w14:paraId="1AAEC8BA" w14:textId="77777777" w:rsidR="004D749D" w:rsidRPr="00660935" w:rsidRDefault="004D749D" w:rsidP="007676A7">
            <w:pPr>
              <w:pStyle w:val="TableContent"/>
            </w:pPr>
            <w:r w:rsidRPr="00660935">
              <w:rPr>
                <w:color w:val="000000"/>
              </w:rPr>
              <w:t>GKB Impact Pty Ltd</w:t>
            </w:r>
          </w:p>
        </w:tc>
        <w:tc>
          <w:tcPr>
            <w:tcW w:w="2467" w:type="dxa"/>
            <w:vAlign w:val="center"/>
          </w:tcPr>
          <w:p w14:paraId="3E5750B3" w14:textId="77777777" w:rsidR="004D749D" w:rsidRPr="00660935" w:rsidRDefault="004D749D" w:rsidP="007676A7">
            <w:pPr>
              <w:pStyle w:val="BodyText"/>
              <w:rPr>
                <w:color w:val="000000"/>
              </w:rPr>
            </w:pPr>
            <w:r w:rsidRPr="00660935">
              <w:rPr>
                <w:color w:val="000000"/>
              </w:rPr>
              <w:t>Reviving Noongar Voices</w:t>
            </w:r>
          </w:p>
        </w:tc>
        <w:tc>
          <w:tcPr>
            <w:tcW w:w="5519" w:type="dxa"/>
            <w:vAlign w:val="center"/>
          </w:tcPr>
          <w:p w14:paraId="36BFC7A8" w14:textId="77777777" w:rsidR="004D749D" w:rsidRPr="00660935" w:rsidRDefault="004D749D" w:rsidP="007676A7">
            <w:pPr>
              <w:pStyle w:val="BodyText"/>
              <w:rPr>
                <w:color w:val="000000"/>
              </w:rPr>
            </w:pPr>
            <w:r w:rsidRPr="00660935">
              <w:rPr>
                <w:color w:val="000000"/>
              </w:rPr>
              <w:t>GKB Impact Pty Ltd will deliver 'Reviving Noongar Voices' - a community-led initiative to revitalise the Noongar language through a series of interactive workshops and cultural storytelling events. The program will engage female Elders, young people, and educators to foster language fluency and strengthen cultural identity. By reconnecting participants with their linguistic heritage, the initiative will promote ongoing learning and support the preservation of Noongar language for future generations.</w:t>
            </w:r>
          </w:p>
        </w:tc>
        <w:tc>
          <w:tcPr>
            <w:tcW w:w="1418" w:type="dxa"/>
            <w:vAlign w:val="center"/>
          </w:tcPr>
          <w:p w14:paraId="765B4FB2" w14:textId="77777777" w:rsidR="004D749D" w:rsidRPr="003C4B86" w:rsidRDefault="004D749D" w:rsidP="007676A7">
            <w:pPr>
              <w:pStyle w:val="TableContent"/>
            </w:pPr>
            <w:r>
              <w:rPr>
                <w:color w:val="000000"/>
              </w:rPr>
              <w:t>$10,000.00</w:t>
            </w:r>
          </w:p>
        </w:tc>
        <w:tc>
          <w:tcPr>
            <w:tcW w:w="2402" w:type="dxa"/>
            <w:vAlign w:val="center"/>
          </w:tcPr>
          <w:p w14:paraId="280D4D70" w14:textId="77777777" w:rsidR="004D749D" w:rsidRPr="000D1F29" w:rsidRDefault="004D749D" w:rsidP="007676A7">
            <w:pPr>
              <w:pStyle w:val="TableContent"/>
            </w:pPr>
            <w:r>
              <w:rPr>
                <w:color w:val="000000"/>
              </w:rPr>
              <w:t>South West</w:t>
            </w:r>
          </w:p>
        </w:tc>
      </w:tr>
      <w:tr w:rsidR="004D749D" w:rsidRPr="000D1F29" w14:paraId="1AA321B1" w14:textId="77777777" w:rsidTr="004D749D">
        <w:trPr>
          <w:trHeight w:val="693"/>
        </w:trPr>
        <w:tc>
          <w:tcPr>
            <w:tcW w:w="2689" w:type="dxa"/>
            <w:vAlign w:val="center"/>
          </w:tcPr>
          <w:p w14:paraId="0D16D6F3" w14:textId="77777777" w:rsidR="004D749D" w:rsidRPr="00660935" w:rsidRDefault="004D749D" w:rsidP="007676A7">
            <w:pPr>
              <w:pStyle w:val="TableContent"/>
            </w:pPr>
            <w:r w:rsidRPr="00660935">
              <w:rPr>
                <w:color w:val="000000"/>
              </w:rPr>
              <w:lastRenderedPageBreak/>
              <w:t>Dress for Success Western Australia</w:t>
            </w:r>
          </w:p>
        </w:tc>
        <w:tc>
          <w:tcPr>
            <w:tcW w:w="2467" w:type="dxa"/>
            <w:vAlign w:val="center"/>
          </w:tcPr>
          <w:p w14:paraId="4040E2F2" w14:textId="77777777" w:rsidR="004D749D" w:rsidRPr="00660935" w:rsidRDefault="004D749D" w:rsidP="007676A7">
            <w:pPr>
              <w:pStyle w:val="BodyText"/>
              <w:rPr>
                <w:color w:val="000000"/>
              </w:rPr>
            </w:pPr>
            <w:r w:rsidRPr="00660935">
              <w:rPr>
                <w:color w:val="000000"/>
              </w:rPr>
              <w:t>From confidence to capability</w:t>
            </w:r>
          </w:p>
        </w:tc>
        <w:tc>
          <w:tcPr>
            <w:tcW w:w="5519" w:type="dxa"/>
            <w:vAlign w:val="center"/>
          </w:tcPr>
          <w:p w14:paraId="144F405F" w14:textId="77777777" w:rsidR="004D749D" w:rsidRPr="00660935" w:rsidRDefault="004D749D" w:rsidP="007676A7">
            <w:pPr>
              <w:pStyle w:val="BodyText"/>
              <w:rPr>
                <w:color w:val="000000"/>
              </w:rPr>
            </w:pPr>
            <w:r w:rsidRPr="00660935">
              <w:rPr>
                <w:color w:val="000000"/>
              </w:rPr>
              <w:t xml:space="preserve">Ready to Work Inc t/a Dress for Success </w:t>
            </w:r>
            <w:proofErr w:type="spellStart"/>
            <w:r w:rsidRPr="00660935">
              <w:rPr>
                <w:color w:val="000000"/>
              </w:rPr>
              <w:t>WAwill</w:t>
            </w:r>
            <w:proofErr w:type="spellEnd"/>
            <w:r w:rsidRPr="00660935">
              <w:rPr>
                <w:color w:val="000000"/>
              </w:rPr>
              <w:t xml:space="preserve"> design and implement a structured mentoring program to support women transitioning into the workforce, particularly those who have experienced significant barriers to employment. The program will provide tailored guidance and practical support during the initial stages of employment, with mentoring available for up to six months or until participants report feeling stable, confident, and capable in their roles.</w:t>
            </w:r>
          </w:p>
        </w:tc>
        <w:tc>
          <w:tcPr>
            <w:tcW w:w="1418" w:type="dxa"/>
            <w:vAlign w:val="center"/>
          </w:tcPr>
          <w:p w14:paraId="3F6549EA" w14:textId="77777777" w:rsidR="004D749D" w:rsidRPr="003C4B86" w:rsidRDefault="004D749D" w:rsidP="007676A7">
            <w:pPr>
              <w:pStyle w:val="TableContent"/>
            </w:pPr>
            <w:r>
              <w:rPr>
                <w:color w:val="000000"/>
              </w:rPr>
              <w:t>$9,890.00</w:t>
            </w:r>
          </w:p>
        </w:tc>
        <w:tc>
          <w:tcPr>
            <w:tcW w:w="2402" w:type="dxa"/>
            <w:vAlign w:val="center"/>
          </w:tcPr>
          <w:p w14:paraId="2BD161D6" w14:textId="77777777" w:rsidR="004D749D" w:rsidRPr="000D1F29" w:rsidRDefault="004D749D" w:rsidP="007676A7">
            <w:pPr>
              <w:pStyle w:val="TableContent"/>
            </w:pPr>
            <w:r>
              <w:rPr>
                <w:color w:val="000000"/>
              </w:rPr>
              <w:t>South-West Metro; Western Metro; North-West Metro; South-East Metro; East Metro</w:t>
            </w:r>
          </w:p>
        </w:tc>
      </w:tr>
      <w:tr w:rsidR="004D749D" w:rsidRPr="000D1F29" w14:paraId="6FFB50DD" w14:textId="77777777" w:rsidTr="004D749D">
        <w:trPr>
          <w:trHeight w:val="693"/>
        </w:trPr>
        <w:tc>
          <w:tcPr>
            <w:tcW w:w="2689" w:type="dxa"/>
            <w:vAlign w:val="center"/>
          </w:tcPr>
          <w:p w14:paraId="7F5039B2" w14:textId="77777777" w:rsidR="004D749D" w:rsidRPr="00660935" w:rsidRDefault="004D749D" w:rsidP="007676A7">
            <w:pPr>
              <w:pStyle w:val="TableContent"/>
            </w:pPr>
            <w:r w:rsidRPr="00660935">
              <w:rPr>
                <w:color w:val="000000"/>
              </w:rPr>
              <w:t>Ishar Multicultural Women's Health Services Inc</w:t>
            </w:r>
          </w:p>
        </w:tc>
        <w:tc>
          <w:tcPr>
            <w:tcW w:w="2467" w:type="dxa"/>
            <w:vAlign w:val="center"/>
          </w:tcPr>
          <w:p w14:paraId="43C25CEC" w14:textId="77777777" w:rsidR="004D749D" w:rsidRPr="00660935" w:rsidRDefault="004D749D" w:rsidP="007676A7">
            <w:pPr>
              <w:pStyle w:val="BodyText"/>
              <w:rPr>
                <w:color w:val="000000"/>
              </w:rPr>
            </w:pPr>
            <w:r w:rsidRPr="00660935">
              <w:rPr>
                <w:color w:val="000000"/>
              </w:rPr>
              <w:t>Multicultural Women's Support Group</w:t>
            </w:r>
          </w:p>
        </w:tc>
        <w:tc>
          <w:tcPr>
            <w:tcW w:w="5519" w:type="dxa"/>
            <w:vAlign w:val="center"/>
          </w:tcPr>
          <w:p w14:paraId="12739BEF" w14:textId="77777777" w:rsidR="004D749D" w:rsidRPr="00660935" w:rsidRDefault="004D749D" w:rsidP="007676A7">
            <w:pPr>
              <w:pStyle w:val="BodyText"/>
              <w:rPr>
                <w:color w:val="000000"/>
              </w:rPr>
            </w:pPr>
            <w:r w:rsidRPr="00660935">
              <w:rPr>
                <w:color w:val="000000"/>
              </w:rPr>
              <w:t>Ishar Multicultural Women's Health Services will empower multicultural women through an educational support program; targeting multicultural women who experience isolation and exclusion from mainstream services, due to services not being culturally appropriate. By fostering inclusivity and promoting women's health education, this program provides a culturally safe space, where participants can enhance their health and wellbeing through tailored education.</w:t>
            </w:r>
          </w:p>
        </w:tc>
        <w:tc>
          <w:tcPr>
            <w:tcW w:w="1418" w:type="dxa"/>
            <w:vAlign w:val="center"/>
          </w:tcPr>
          <w:p w14:paraId="7831DD43" w14:textId="77777777" w:rsidR="004D749D" w:rsidRPr="003C4B86" w:rsidRDefault="004D749D" w:rsidP="007676A7">
            <w:pPr>
              <w:pStyle w:val="TableContent"/>
            </w:pPr>
            <w:r>
              <w:rPr>
                <w:color w:val="000000"/>
              </w:rPr>
              <w:t>$10,000.00</w:t>
            </w:r>
          </w:p>
        </w:tc>
        <w:tc>
          <w:tcPr>
            <w:tcW w:w="2402" w:type="dxa"/>
            <w:vAlign w:val="center"/>
          </w:tcPr>
          <w:p w14:paraId="2C025172" w14:textId="77777777" w:rsidR="004D749D" w:rsidRPr="000D1F29" w:rsidRDefault="004D749D" w:rsidP="007676A7">
            <w:pPr>
              <w:pStyle w:val="TableContent"/>
            </w:pPr>
            <w:r>
              <w:rPr>
                <w:color w:val="000000"/>
              </w:rPr>
              <w:t>North-West Metro</w:t>
            </w:r>
          </w:p>
        </w:tc>
      </w:tr>
      <w:tr w:rsidR="004D749D" w:rsidRPr="000D1F29" w14:paraId="659545A2" w14:textId="77777777" w:rsidTr="004D749D">
        <w:trPr>
          <w:trHeight w:val="693"/>
        </w:trPr>
        <w:tc>
          <w:tcPr>
            <w:tcW w:w="2689" w:type="dxa"/>
            <w:vAlign w:val="center"/>
          </w:tcPr>
          <w:p w14:paraId="175A0EF2" w14:textId="77777777" w:rsidR="004D749D" w:rsidRPr="00660935" w:rsidRDefault="004D749D" w:rsidP="007676A7">
            <w:pPr>
              <w:pStyle w:val="TableContent"/>
            </w:pPr>
            <w:r w:rsidRPr="00660935">
              <w:rPr>
                <w:color w:val="000000"/>
              </w:rPr>
              <w:lastRenderedPageBreak/>
              <w:t>South West Women's Health and Information Centre inc.</w:t>
            </w:r>
          </w:p>
        </w:tc>
        <w:tc>
          <w:tcPr>
            <w:tcW w:w="2467" w:type="dxa"/>
            <w:vAlign w:val="center"/>
          </w:tcPr>
          <w:p w14:paraId="74FC19AD" w14:textId="77777777" w:rsidR="004D749D" w:rsidRPr="00660935" w:rsidRDefault="004D749D" w:rsidP="007676A7">
            <w:pPr>
              <w:pStyle w:val="BodyText"/>
              <w:rPr>
                <w:color w:val="000000"/>
              </w:rPr>
            </w:pPr>
            <w:r w:rsidRPr="00660935">
              <w:rPr>
                <w:color w:val="000000"/>
              </w:rPr>
              <w:t>Protective and Respectful Project</w:t>
            </w:r>
          </w:p>
        </w:tc>
        <w:tc>
          <w:tcPr>
            <w:tcW w:w="5519" w:type="dxa"/>
            <w:vAlign w:val="center"/>
          </w:tcPr>
          <w:p w14:paraId="0671F1CB" w14:textId="77777777" w:rsidR="004D749D" w:rsidRPr="00660935" w:rsidRDefault="004D749D" w:rsidP="007676A7">
            <w:pPr>
              <w:pStyle w:val="BodyText"/>
              <w:rPr>
                <w:color w:val="000000"/>
              </w:rPr>
            </w:pPr>
            <w:r w:rsidRPr="00660935">
              <w:rPr>
                <w:color w:val="000000"/>
              </w:rPr>
              <w:t>South West Women's Health and Information Centre inc. will deliver the 'Protective and Respectful Project' - building on the foundation developed over the past 12 months to enhance the way young people in the South-West learn about body safety, consent, sexual health, healthy relationships, and protective behaviours. Working alongside schools, parents and community the project provides young people with diverse, engaging opportunities to learn in safe environments with meaningful, experiential resources.</w:t>
            </w:r>
          </w:p>
        </w:tc>
        <w:tc>
          <w:tcPr>
            <w:tcW w:w="1418" w:type="dxa"/>
            <w:vAlign w:val="center"/>
          </w:tcPr>
          <w:p w14:paraId="5C55BA9B" w14:textId="77777777" w:rsidR="004D749D" w:rsidRPr="003C4B86" w:rsidRDefault="004D749D" w:rsidP="007676A7">
            <w:pPr>
              <w:pStyle w:val="TableContent"/>
            </w:pPr>
            <w:r>
              <w:rPr>
                <w:color w:val="000000"/>
              </w:rPr>
              <w:t>$10,000.00</w:t>
            </w:r>
          </w:p>
        </w:tc>
        <w:tc>
          <w:tcPr>
            <w:tcW w:w="2402" w:type="dxa"/>
            <w:vAlign w:val="center"/>
          </w:tcPr>
          <w:p w14:paraId="5FE4BF8C" w14:textId="77777777" w:rsidR="004D749D" w:rsidRPr="000D1F29" w:rsidRDefault="004D749D" w:rsidP="007676A7">
            <w:pPr>
              <w:pStyle w:val="TableContent"/>
            </w:pPr>
            <w:r>
              <w:rPr>
                <w:color w:val="000000"/>
              </w:rPr>
              <w:t>South West</w:t>
            </w:r>
          </w:p>
        </w:tc>
      </w:tr>
    </w:tbl>
    <w:p w14:paraId="0E650717" w14:textId="3EEC3720" w:rsidR="00C9552B" w:rsidRDefault="00C9552B" w:rsidP="00320C12">
      <w:pPr>
        <w:rPr>
          <w:color w:val="2C5C86"/>
        </w:rPr>
      </w:pPr>
    </w:p>
    <w:p w14:paraId="070B99CD" w14:textId="77777777" w:rsidR="00C9552B" w:rsidRDefault="00C9552B">
      <w:pPr>
        <w:spacing w:after="0" w:line="240" w:lineRule="auto"/>
        <w:rPr>
          <w:color w:val="2C5C86"/>
        </w:rPr>
      </w:pPr>
      <w:r>
        <w:rPr>
          <w:color w:val="2C5C86"/>
        </w:rPr>
        <w:br w:type="page"/>
      </w:r>
    </w:p>
    <w:p w14:paraId="1EDEDC9F" w14:textId="7FB3BD79" w:rsidR="00F67C70" w:rsidRDefault="00234227" w:rsidP="00F67C70">
      <w:pPr>
        <w:pStyle w:val="Heading3"/>
        <w:rPr>
          <w:sz w:val="48"/>
          <w:szCs w:val="48"/>
        </w:rPr>
      </w:pPr>
      <w:r w:rsidRPr="00F743DA">
        <w:rPr>
          <w:rStyle w:val="normaltextrun"/>
          <w:sz w:val="48"/>
          <w:szCs w:val="48"/>
        </w:rPr>
        <w:lastRenderedPageBreak/>
        <w:t>DOCG202540117</w:t>
      </w:r>
      <w:r w:rsidR="00401861" w:rsidRPr="00F743DA">
        <w:rPr>
          <w:rStyle w:val="normaltextrun"/>
          <w:sz w:val="48"/>
          <w:szCs w:val="48"/>
        </w:rPr>
        <w:t xml:space="preserve"> -</w:t>
      </w:r>
      <w:r w:rsidR="00F67C70" w:rsidRPr="00F743DA">
        <w:rPr>
          <w:sz w:val="48"/>
          <w:szCs w:val="48"/>
        </w:rPr>
        <w:t xml:space="preserve"> Safety and Justice Grants Program</w:t>
      </w:r>
    </w:p>
    <w:p w14:paraId="1E424777" w14:textId="77777777" w:rsidR="00F743DA" w:rsidRPr="00F743DA" w:rsidRDefault="00F743DA" w:rsidP="00F743DA">
      <w:pPr>
        <w:pStyle w:val="BodyText"/>
        <w:rPr>
          <w:lang w:eastAsia="en-AU"/>
        </w:rPr>
      </w:pPr>
    </w:p>
    <w:tbl>
      <w:tblPr>
        <w:tblStyle w:val="TableStyle"/>
        <w:tblW w:w="14495" w:type="dxa"/>
        <w:tblLook w:val="04A0" w:firstRow="1" w:lastRow="0" w:firstColumn="1" w:lastColumn="0" w:noHBand="0" w:noVBand="1"/>
        <w:tblDescription w:val="Table example"/>
      </w:tblPr>
      <w:tblGrid>
        <w:gridCol w:w="2372"/>
        <w:gridCol w:w="2781"/>
        <w:gridCol w:w="5519"/>
        <w:gridCol w:w="1418"/>
        <w:gridCol w:w="2405"/>
      </w:tblGrid>
      <w:tr w:rsidR="00C9552B" w:rsidRPr="00531866" w14:paraId="650FE7CB" w14:textId="77777777" w:rsidTr="00F67C70">
        <w:trPr>
          <w:cnfStyle w:val="100000000000" w:firstRow="1" w:lastRow="0" w:firstColumn="0" w:lastColumn="0" w:oddVBand="0" w:evenVBand="0" w:oddHBand="0" w:evenHBand="0" w:firstRowFirstColumn="0" w:firstRowLastColumn="0" w:lastRowFirstColumn="0" w:lastRowLastColumn="0"/>
          <w:trHeight w:val="615"/>
        </w:trPr>
        <w:tc>
          <w:tcPr>
            <w:tcW w:w="2400" w:type="dxa"/>
          </w:tcPr>
          <w:p w14:paraId="3E259EC0" w14:textId="77777777" w:rsidR="00C9552B" w:rsidRPr="00531866" w:rsidRDefault="00C9552B" w:rsidP="005032D6">
            <w:pPr>
              <w:pStyle w:val="TableContent"/>
            </w:pPr>
            <w:r>
              <w:t>Organisation</w:t>
            </w:r>
            <w:r w:rsidRPr="00531866">
              <w:t xml:space="preserve"> </w:t>
            </w:r>
          </w:p>
        </w:tc>
        <w:tc>
          <w:tcPr>
            <w:tcW w:w="2825" w:type="dxa"/>
          </w:tcPr>
          <w:p w14:paraId="444808EC" w14:textId="77777777" w:rsidR="00C9552B" w:rsidRPr="00531866" w:rsidRDefault="00C9552B" w:rsidP="005032D6">
            <w:pPr>
              <w:pStyle w:val="TableContent"/>
            </w:pPr>
            <w:r>
              <w:t>Project Name</w:t>
            </w:r>
          </w:p>
        </w:tc>
        <w:tc>
          <w:tcPr>
            <w:tcW w:w="5663" w:type="dxa"/>
          </w:tcPr>
          <w:p w14:paraId="1A8B2DBD" w14:textId="77777777" w:rsidR="00C9552B" w:rsidRDefault="00C9552B" w:rsidP="005032D6">
            <w:pPr>
              <w:pStyle w:val="TableContent"/>
            </w:pPr>
            <w:r>
              <w:t>Project Description</w:t>
            </w:r>
          </w:p>
        </w:tc>
        <w:tc>
          <w:tcPr>
            <w:tcW w:w="1163" w:type="dxa"/>
          </w:tcPr>
          <w:p w14:paraId="686663A1" w14:textId="77777777" w:rsidR="00C9552B" w:rsidRDefault="00C9552B" w:rsidP="005032D6">
            <w:pPr>
              <w:pStyle w:val="TableContent"/>
            </w:pPr>
            <w:r>
              <w:t>Funding Amount</w:t>
            </w:r>
          </w:p>
        </w:tc>
        <w:tc>
          <w:tcPr>
            <w:tcW w:w="2444" w:type="dxa"/>
          </w:tcPr>
          <w:p w14:paraId="3B090BA1" w14:textId="77777777" w:rsidR="00C9552B" w:rsidRDefault="00C9552B" w:rsidP="005032D6">
            <w:pPr>
              <w:pStyle w:val="TableContent"/>
            </w:pPr>
            <w:r>
              <w:t>Regions</w:t>
            </w:r>
          </w:p>
        </w:tc>
      </w:tr>
      <w:tr w:rsidR="00C9552B" w:rsidRPr="00531866" w14:paraId="7CA2FD4D" w14:textId="77777777" w:rsidTr="00F67C70">
        <w:trPr>
          <w:trHeight w:val="693"/>
        </w:trPr>
        <w:tc>
          <w:tcPr>
            <w:tcW w:w="2400" w:type="dxa"/>
          </w:tcPr>
          <w:p w14:paraId="2E3C3B73" w14:textId="40AEE104" w:rsidR="00C9552B" w:rsidRPr="00531866" w:rsidRDefault="002F0595" w:rsidP="005032D6">
            <w:pPr>
              <w:pStyle w:val="TableContent"/>
            </w:pPr>
            <w:r w:rsidRPr="002F0595">
              <w:t>Goldfields Womens Health Care Assoc Inc</w:t>
            </w:r>
          </w:p>
        </w:tc>
        <w:tc>
          <w:tcPr>
            <w:tcW w:w="2825" w:type="dxa"/>
          </w:tcPr>
          <w:p w14:paraId="57C18969" w14:textId="4A2E1E3F" w:rsidR="00C9552B" w:rsidRPr="00531866" w:rsidRDefault="002F0595" w:rsidP="005032D6">
            <w:pPr>
              <w:pStyle w:val="BodyText"/>
            </w:pPr>
            <w:r w:rsidRPr="002F0595">
              <w:t>Youth-led and Culturally Safe Campaigns to Prevent Sexual Violence in the Goldfields</w:t>
            </w:r>
          </w:p>
        </w:tc>
        <w:tc>
          <w:tcPr>
            <w:tcW w:w="5663" w:type="dxa"/>
          </w:tcPr>
          <w:p w14:paraId="36C16ACB" w14:textId="6110E495" w:rsidR="00C9552B" w:rsidRPr="00531866" w:rsidRDefault="007522FA" w:rsidP="005032D6">
            <w:pPr>
              <w:pStyle w:val="BodyText"/>
            </w:pPr>
            <w:r w:rsidRPr="007522FA">
              <w:t>The Project will deliver a series of co-designed, youth-led campaigns via social media, video, local art, peer education, and community events to challenge harmful gender norms, myths about sexual violence, and promote consent and respectful relationships. The campaigns will be led by young people, aged 15 to 25 years, across Kalgoorlie, with a specific focus on engaging Aboriginal young people as a priority population</w:t>
            </w:r>
          </w:p>
        </w:tc>
        <w:tc>
          <w:tcPr>
            <w:tcW w:w="1163" w:type="dxa"/>
          </w:tcPr>
          <w:p w14:paraId="352ACBEF" w14:textId="11781039" w:rsidR="00C9552B" w:rsidRPr="00531866" w:rsidRDefault="002F0595" w:rsidP="005032D6">
            <w:pPr>
              <w:pStyle w:val="TableContent"/>
            </w:pPr>
            <w:r>
              <w:t>$95,500</w:t>
            </w:r>
          </w:p>
        </w:tc>
        <w:tc>
          <w:tcPr>
            <w:tcW w:w="2444" w:type="dxa"/>
          </w:tcPr>
          <w:p w14:paraId="45DE4FAA" w14:textId="6DDB09A7" w:rsidR="00C9552B" w:rsidRPr="00531866" w:rsidRDefault="007522FA" w:rsidP="005032D6">
            <w:pPr>
              <w:pStyle w:val="TableContent"/>
            </w:pPr>
            <w:r w:rsidRPr="007522FA">
              <w:t>Goldfields-Esperance – Coolgardie</w:t>
            </w:r>
            <w:r>
              <w:t>,</w:t>
            </w:r>
            <w:r w:rsidRPr="007522FA">
              <w:t xml:space="preserve"> Kalgoorlie-Boulder</w:t>
            </w:r>
          </w:p>
        </w:tc>
      </w:tr>
      <w:tr w:rsidR="002F0595" w:rsidRPr="00531866" w14:paraId="6D06A49F" w14:textId="77777777" w:rsidTr="00F67C70">
        <w:trPr>
          <w:trHeight w:val="693"/>
        </w:trPr>
        <w:tc>
          <w:tcPr>
            <w:tcW w:w="2400" w:type="dxa"/>
          </w:tcPr>
          <w:p w14:paraId="30026D4B" w14:textId="2A9D57B7" w:rsidR="002F0595" w:rsidRPr="002F0595" w:rsidRDefault="002F0595" w:rsidP="005032D6">
            <w:pPr>
              <w:pStyle w:val="TableContent"/>
            </w:pPr>
            <w:r w:rsidRPr="002F0595">
              <w:t>Wyndham Youth Aboriginal Corporation</w:t>
            </w:r>
          </w:p>
        </w:tc>
        <w:tc>
          <w:tcPr>
            <w:tcW w:w="2825" w:type="dxa"/>
          </w:tcPr>
          <w:p w14:paraId="68279DCD" w14:textId="679092F1" w:rsidR="002F0595" w:rsidRPr="00531866" w:rsidRDefault="002F0595" w:rsidP="005032D6">
            <w:pPr>
              <w:pStyle w:val="BodyText"/>
            </w:pPr>
            <w:r w:rsidRPr="002F0595">
              <w:t>Wyndham Family Strengthening Project - Women's Group</w:t>
            </w:r>
          </w:p>
        </w:tc>
        <w:tc>
          <w:tcPr>
            <w:tcW w:w="5663" w:type="dxa"/>
          </w:tcPr>
          <w:p w14:paraId="52DDAD38" w14:textId="7F9BB9F8" w:rsidR="002F0595" w:rsidRPr="00531866" w:rsidRDefault="007522FA" w:rsidP="005032D6">
            <w:pPr>
              <w:pStyle w:val="BodyText"/>
            </w:pPr>
            <w:r w:rsidRPr="007522FA">
              <w:t>The Project is part of a wider proposed project aimed at strengthening Aboriginal families in Wyndham to reduce family and domestic violence (FDV). This project will deliver gender-specific, culturally safe activities for mothers/female caregivers and daughters. The focus is on building resilience and relationships while addressing risk factors such as stress, financial pressures, and intergenerational trauma contributing to FDV.</w:t>
            </w:r>
          </w:p>
        </w:tc>
        <w:tc>
          <w:tcPr>
            <w:tcW w:w="1163" w:type="dxa"/>
          </w:tcPr>
          <w:p w14:paraId="1D4B1ED4" w14:textId="65135D42" w:rsidR="002F0595" w:rsidRPr="00531866" w:rsidRDefault="002F0595" w:rsidP="005032D6">
            <w:pPr>
              <w:pStyle w:val="TableContent"/>
            </w:pPr>
            <w:r>
              <w:t>$67,497.25</w:t>
            </w:r>
          </w:p>
        </w:tc>
        <w:tc>
          <w:tcPr>
            <w:tcW w:w="2444" w:type="dxa"/>
          </w:tcPr>
          <w:p w14:paraId="65EA6A8E" w14:textId="773F5368" w:rsidR="002F0595" w:rsidRPr="00531866" w:rsidRDefault="007522FA" w:rsidP="005032D6">
            <w:pPr>
              <w:pStyle w:val="TableContent"/>
            </w:pPr>
            <w:r w:rsidRPr="007522FA">
              <w:t>Kimberley – Wyndham-East Kimberley</w:t>
            </w:r>
          </w:p>
        </w:tc>
      </w:tr>
      <w:tr w:rsidR="002F0595" w:rsidRPr="00531866" w14:paraId="5679A396" w14:textId="77777777" w:rsidTr="00F67C70">
        <w:trPr>
          <w:trHeight w:val="693"/>
        </w:trPr>
        <w:tc>
          <w:tcPr>
            <w:tcW w:w="2400" w:type="dxa"/>
          </w:tcPr>
          <w:p w14:paraId="79F6643D" w14:textId="296D99F7" w:rsidR="002F0595" w:rsidRPr="002F0595" w:rsidRDefault="002F0595" w:rsidP="005032D6">
            <w:pPr>
              <w:pStyle w:val="TableContent"/>
            </w:pPr>
            <w:proofErr w:type="spellStart"/>
            <w:r w:rsidRPr="002F0595">
              <w:lastRenderedPageBreak/>
              <w:t>UnionsWA</w:t>
            </w:r>
            <w:proofErr w:type="spellEnd"/>
            <w:r w:rsidRPr="002F0595">
              <w:t xml:space="preserve"> Incorporated</w:t>
            </w:r>
          </w:p>
        </w:tc>
        <w:tc>
          <w:tcPr>
            <w:tcW w:w="2825" w:type="dxa"/>
          </w:tcPr>
          <w:p w14:paraId="7C707570" w14:textId="26A3C769" w:rsidR="002F0595" w:rsidRPr="00531866" w:rsidRDefault="002F0595" w:rsidP="005032D6">
            <w:pPr>
              <w:pStyle w:val="BodyText"/>
            </w:pPr>
            <w:r w:rsidRPr="002F0595">
              <w:t>No respect, No service</w:t>
            </w:r>
          </w:p>
        </w:tc>
        <w:tc>
          <w:tcPr>
            <w:tcW w:w="5663" w:type="dxa"/>
          </w:tcPr>
          <w:p w14:paraId="01563E81" w14:textId="728DAB22" w:rsidR="002F0595" w:rsidRPr="00531866" w:rsidRDefault="007522FA" w:rsidP="005032D6">
            <w:pPr>
              <w:pStyle w:val="BodyText"/>
            </w:pPr>
            <w:r w:rsidRPr="007522FA">
              <w:t>The Project is a 22-months initiative to prevent sexual violence in hospitality, retail and community sectors by employing a Gender Violence Prevention Officer. The Project will empower young and migrant women through training, resources and partnerships, fostering safer workplaces where safety is standard.</w:t>
            </w:r>
          </w:p>
        </w:tc>
        <w:tc>
          <w:tcPr>
            <w:tcW w:w="1163" w:type="dxa"/>
          </w:tcPr>
          <w:p w14:paraId="64A8953B" w14:textId="1D2F50C1" w:rsidR="002F0595" w:rsidRPr="00531866" w:rsidRDefault="00E67191" w:rsidP="005032D6">
            <w:pPr>
              <w:pStyle w:val="TableContent"/>
            </w:pPr>
            <w:r>
              <w:t>$137,000</w:t>
            </w:r>
          </w:p>
        </w:tc>
        <w:tc>
          <w:tcPr>
            <w:tcW w:w="2444" w:type="dxa"/>
          </w:tcPr>
          <w:p w14:paraId="0B440DA8" w14:textId="77777777" w:rsidR="007522FA" w:rsidRPr="007522FA" w:rsidRDefault="007522FA" w:rsidP="007522FA">
            <w:pPr>
              <w:pStyle w:val="TableContent"/>
            </w:pPr>
            <w:r w:rsidRPr="007522FA">
              <w:t xml:space="preserve">South-East Metro </w:t>
            </w:r>
          </w:p>
          <w:p w14:paraId="4CCCA3B2" w14:textId="77777777" w:rsidR="007522FA" w:rsidRPr="007522FA" w:rsidRDefault="007522FA" w:rsidP="007522FA">
            <w:pPr>
              <w:pStyle w:val="TableContent"/>
            </w:pPr>
            <w:r w:rsidRPr="007522FA">
              <w:t xml:space="preserve">South-West Metro </w:t>
            </w:r>
          </w:p>
          <w:p w14:paraId="61B0D04F" w14:textId="77777777" w:rsidR="007522FA" w:rsidRPr="007522FA" w:rsidRDefault="007522FA" w:rsidP="007522FA">
            <w:pPr>
              <w:pStyle w:val="TableContent"/>
            </w:pPr>
            <w:r w:rsidRPr="007522FA">
              <w:t xml:space="preserve">North-West Metro </w:t>
            </w:r>
          </w:p>
          <w:p w14:paraId="57344F13" w14:textId="77777777" w:rsidR="007522FA" w:rsidRPr="007522FA" w:rsidRDefault="007522FA" w:rsidP="007522FA">
            <w:pPr>
              <w:pStyle w:val="TableContent"/>
            </w:pPr>
            <w:r w:rsidRPr="007522FA">
              <w:t xml:space="preserve">Western-Metro </w:t>
            </w:r>
          </w:p>
          <w:p w14:paraId="3271E562" w14:textId="0CCA66B8" w:rsidR="002F0595" w:rsidRPr="00531866" w:rsidRDefault="007522FA" w:rsidP="007522FA">
            <w:pPr>
              <w:pStyle w:val="TableContent"/>
            </w:pPr>
            <w:r w:rsidRPr="007522FA">
              <w:t>East Metro</w:t>
            </w:r>
          </w:p>
        </w:tc>
      </w:tr>
    </w:tbl>
    <w:p w14:paraId="28BB950A" w14:textId="77777777" w:rsidR="00C9552B" w:rsidRPr="009E0F50" w:rsidRDefault="00C9552B" w:rsidP="00320C12">
      <w:pPr>
        <w:rPr>
          <w:color w:val="2C5C86"/>
        </w:rPr>
      </w:pPr>
    </w:p>
    <w:sectPr w:rsidR="00C9552B" w:rsidRPr="009E0F50" w:rsidSect="00C44B3E">
      <w:headerReference w:type="even" r:id="rId13"/>
      <w:headerReference w:type="default" r:id="rId14"/>
      <w:footerReference w:type="default" r:id="rId15"/>
      <w:headerReference w:type="first" r:id="rId16"/>
      <w:footerReference w:type="first" r:id="rId17"/>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C710" w14:textId="77777777" w:rsidR="003E3138" w:rsidRDefault="003E3138" w:rsidP="00D41211">
      <w:r>
        <w:separator/>
      </w:r>
    </w:p>
  </w:endnote>
  <w:endnote w:type="continuationSeparator" w:id="0">
    <w:p w14:paraId="143C3041" w14:textId="77777777" w:rsidR="003E3138" w:rsidRDefault="003E313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9911" w14:textId="77777777"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81FD" w14:textId="77777777"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1D8A" w14:textId="77777777" w:rsidR="003E3138" w:rsidRDefault="003E3138" w:rsidP="00D41211">
      <w:r>
        <w:separator/>
      </w:r>
    </w:p>
  </w:footnote>
  <w:footnote w:type="continuationSeparator" w:id="0">
    <w:p w14:paraId="64E2814C" w14:textId="77777777" w:rsidR="003E3138" w:rsidRDefault="003E313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6C69" w14:textId="77777777" w:rsidR="004236F3" w:rsidRDefault="004236F3">
    <w:pPr>
      <w:pStyle w:val="Header"/>
    </w:pPr>
    <w:r>
      <w:rPr>
        <w:noProof/>
      </w:rPr>
      <mc:AlternateContent>
        <mc:Choice Requires="wps">
          <w:drawing>
            <wp:anchor distT="0" distB="0" distL="0" distR="0" simplePos="0" relativeHeight="251659264" behindDoc="0" locked="0" layoutInCell="1" allowOverlap="1" wp14:anchorId="24114D08" wp14:editId="46C4FEDA">
              <wp:simplePos x="635" y="635"/>
              <wp:positionH relativeFrom="page">
                <wp:align>center</wp:align>
              </wp:positionH>
              <wp:positionV relativeFrom="page">
                <wp:align>top</wp:align>
              </wp:positionV>
              <wp:extent cx="643255" cy="450850"/>
              <wp:effectExtent l="0" t="0" r="4445" b="6350"/>
              <wp:wrapNone/>
              <wp:docPr id="6392511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BD3D405"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14D08"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0BD3D405"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271E" w14:textId="0481EC22" w:rsidR="000F085D" w:rsidRPr="008C68A9" w:rsidRDefault="004236F3" w:rsidP="00005785">
    <w:pPr>
      <w:pStyle w:val="Header"/>
      <w:spacing w:before="640"/>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0E71CDF6" wp14:editId="3EF704E6">
              <wp:simplePos x="719386" y="0"/>
              <wp:positionH relativeFrom="page">
                <wp:align>center</wp:align>
              </wp:positionH>
              <wp:positionV relativeFrom="page">
                <wp:align>top</wp:align>
              </wp:positionV>
              <wp:extent cx="643255" cy="450850"/>
              <wp:effectExtent l="0" t="0" r="4445" b="6350"/>
              <wp:wrapNone/>
              <wp:docPr id="6932816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72746D0"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1CDF6"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472746D0"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v:textbox>
              <w10:wrap anchorx="page" anchory="page"/>
            </v:shape>
          </w:pict>
        </mc:Fallback>
      </mc:AlternateContent>
    </w:r>
    <w:r w:rsidR="0027363A" w:rsidRPr="0027363A">
      <w:t xml:space="preserve"> </w:t>
    </w:r>
    <w:r w:rsidR="0027363A">
      <w:t>Women’s Grants for Stronger Future 2025-26 Program – Grant Recipients</w:t>
    </w:r>
  </w:p>
  <w:p w14:paraId="2E4D7FC5" w14:textId="77777777" w:rsidR="000F085D" w:rsidRPr="00455F4B" w:rsidRDefault="00000000" w:rsidP="00005785">
    <w:pPr>
      <w:pStyle w:val="HeaderLine"/>
      <w:spacing w:after="280"/>
    </w:pPr>
    <w:r>
      <w:rPr>
        <w:rStyle w:val="Bold"/>
        <w:rFonts w:ascii="Arial" w:hAnsi="Arial" w:cs="Arial"/>
        <w:b w:val="0"/>
        <w:bCs w:val="0"/>
      </w:rPr>
      <w:pict w14:anchorId="2583BDAE">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5071" w14:textId="77777777" w:rsidR="001A0AF6" w:rsidRDefault="004236F3"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4A1072AF" wp14:editId="740C7F6F">
              <wp:simplePos x="719386" y="0"/>
              <wp:positionH relativeFrom="page">
                <wp:align>center</wp:align>
              </wp:positionH>
              <wp:positionV relativeFrom="page">
                <wp:align>top</wp:align>
              </wp:positionV>
              <wp:extent cx="643255" cy="450850"/>
              <wp:effectExtent l="0" t="0" r="4445" b="6350"/>
              <wp:wrapNone/>
              <wp:docPr id="412140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BB7ACEF"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072AF"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1BB7ACEF"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1E81B9B1" wp14:editId="71BD7238">
          <wp:extent cx="10682853" cy="1438604"/>
          <wp:effectExtent l="0" t="0" r="4445"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2853" cy="1438604"/>
                  </a:xfrm>
                  <a:prstGeom prst="rect">
                    <a:avLst/>
                  </a:prstGeom>
                  <a:noFill/>
                  <a:ln>
                    <a:noFill/>
                  </a:ln>
                </pic:spPr>
              </pic:pic>
            </a:graphicData>
          </a:graphic>
        </wp:inline>
      </w:drawing>
    </w:r>
  </w:p>
  <w:p w14:paraId="3227DCF0" w14:textId="77777777"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1BA24C1D"/>
    <w:multiLevelType w:val="hybridMultilevel"/>
    <w:tmpl w:val="8070D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7"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0"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264262939">
    <w:abstractNumId w:val="21"/>
  </w:num>
  <w:num w:numId="2" w16cid:durableId="542059294">
    <w:abstractNumId w:val="16"/>
  </w:num>
  <w:num w:numId="3" w16cid:durableId="573055515">
    <w:abstractNumId w:val="0"/>
  </w:num>
  <w:num w:numId="4" w16cid:durableId="769857609">
    <w:abstractNumId w:val="28"/>
  </w:num>
  <w:num w:numId="5" w16cid:durableId="448201852">
    <w:abstractNumId w:val="32"/>
  </w:num>
  <w:num w:numId="6" w16cid:durableId="807748640">
    <w:abstractNumId w:val="11"/>
  </w:num>
  <w:num w:numId="7" w16cid:durableId="1073165213">
    <w:abstractNumId w:val="35"/>
  </w:num>
  <w:num w:numId="8" w16cid:durableId="386222871">
    <w:abstractNumId w:val="26"/>
  </w:num>
  <w:num w:numId="9" w16cid:durableId="261763069">
    <w:abstractNumId w:val="14"/>
  </w:num>
  <w:num w:numId="10" w16cid:durableId="282425670">
    <w:abstractNumId w:val="22"/>
  </w:num>
  <w:num w:numId="11" w16cid:durableId="980161116">
    <w:abstractNumId w:val="36"/>
  </w:num>
  <w:num w:numId="12" w16cid:durableId="264268228">
    <w:abstractNumId w:val="15"/>
  </w:num>
  <w:num w:numId="13" w16cid:durableId="1877307892">
    <w:abstractNumId w:val="30"/>
  </w:num>
  <w:num w:numId="14" w16cid:durableId="822233826">
    <w:abstractNumId w:val="10"/>
  </w:num>
  <w:num w:numId="15" w16cid:durableId="1542203929">
    <w:abstractNumId w:val="8"/>
  </w:num>
  <w:num w:numId="16" w16cid:durableId="446000099">
    <w:abstractNumId w:val="7"/>
  </w:num>
  <w:num w:numId="17" w16cid:durableId="635990271">
    <w:abstractNumId w:val="6"/>
  </w:num>
  <w:num w:numId="18" w16cid:durableId="1882596630">
    <w:abstractNumId w:val="5"/>
  </w:num>
  <w:num w:numId="19" w16cid:durableId="1287858745">
    <w:abstractNumId w:val="9"/>
  </w:num>
  <w:num w:numId="20" w16cid:durableId="777912665">
    <w:abstractNumId w:val="4"/>
  </w:num>
  <w:num w:numId="21" w16cid:durableId="638727141">
    <w:abstractNumId w:val="3"/>
  </w:num>
  <w:num w:numId="22" w16cid:durableId="849177627">
    <w:abstractNumId w:val="2"/>
  </w:num>
  <w:num w:numId="23" w16cid:durableId="1887597734">
    <w:abstractNumId w:val="1"/>
  </w:num>
  <w:num w:numId="24" w16cid:durableId="1052272982">
    <w:abstractNumId w:val="17"/>
  </w:num>
  <w:num w:numId="25" w16cid:durableId="713433895">
    <w:abstractNumId w:val="20"/>
  </w:num>
  <w:num w:numId="26" w16cid:durableId="1238055643">
    <w:abstractNumId w:val="12"/>
  </w:num>
  <w:num w:numId="27" w16cid:durableId="637077214">
    <w:abstractNumId w:val="29"/>
  </w:num>
  <w:num w:numId="28" w16cid:durableId="1267734980">
    <w:abstractNumId w:val="27"/>
  </w:num>
  <w:num w:numId="29" w16cid:durableId="1815104090">
    <w:abstractNumId w:val="13"/>
  </w:num>
  <w:num w:numId="30" w16cid:durableId="2586376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1612046">
    <w:abstractNumId w:val="19"/>
  </w:num>
  <w:num w:numId="32" w16cid:durableId="1619067827">
    <w:abstractNumId w:val="33"/>
  </w:num>
  <w:num w:numId="33" w16cid:durableId="1339113606">
    <w:abstractNumId w:val="37"/>
  </w:num>
  <w:num w:numId="34" w16cid:durableId="1443187915">
    <w:abstractNumId w:val="20"/>
  </w:num>
  <w:num w:numId="35" w16cid:durableId="1267036948">
    <w:abstractNumId w:val="34"/>
  </w:num>
  <w:num w:numId="36" w16cid:durableId="1146362295">
    <w:abstractNumId w:val="23"/>
  </w:num>
  <w:num w:numId="37" w16cid:durableId="2029789198">
    <w:abstractNumId w:val="31"/>
  </w:num>
  <w:num w:numId="38" w16cid:durableId="213857735">
    <w:abstractNumId w:val="24"/>
  </w:num>
  <w:num w:numId="39" w16cid:durableId="1005518851">
    <w:abstractNumId w:val="24"/>
  </w:num>
  <w:num w:numId="40" w16cid:durableId="1242521344">
    <w:abstractNumId w:val="24"/>
  </w:num>
  <w:num w:numId="41" w16cid:durableId="1505053338">
    <w:abstractNumId w:val="24"/>
  </w:num>
  <w:num w:numId="42" w16cid:durableId="251551752">
    <w:abstractNumId w:val="24"/>
  </w:num>
  <w:num w:numId="43" w16cid:durableId="91315993">
    <w:abstractNumId w:val="24"/>
  </w:num>
  <w:num w:numId="44" w16cid:durableId="1902907628">
    <w:abstractNumId w:val="24"/>
  </w:num>
  <w:num w:numId="45" w16cid:durableId="820583214">
    <w:abstractNumId w:val="24"/>
  </w:num>
  <w:num w:numId="46" w16cid:durableId="1900943039">
    <w:abstractNumId w:val="24"/>
  </w:num>
  <w:num w:numId="47" w16cid:durableId="1194612851">
    <w:abstractNumId w:val="24"/>
  </w:num>
  <w:num w:numId="48" w16cid:durableId="2055494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3A"/>
    <w:rsid w:val="00005785"/>
    <w:rsid w:val="00015EC0"/>
    <w:rsid w:val="000214AD"/>
    <w:rsid w:val="00022D02"/>
    <w:rsid w:val="00025F3F"/>
    <w:rsid w:val="00026CF7"/>
    <w:rsid w:val="000338B3"/>
    <w:rsid w:val="00034CE5"/>
    <w:rsid w:val="0003559B"/>
    <w:rsid w:val="00044DBF"/>
    <w:rsid w:val="00045180"/>
    <w:rsid w:val="00047DD6"/>
    <w:rsid w:val="0005696C"/>
    <w:rsid w:val="00060292"/>
    <w:rsid w:val="00060CF0"/>
    <w:rsid w:val="00063F98"/>
    <w:rsid w:val="00064337"/>
    <w:rsid w:val="0006459B"/>
    <w:rsid w:val="00065542"/>
    <w:rsid w:val="00066CCF"/>
    <w:rsid w:val="00067CFC"/>
    <w:rsid w:val="00075D15"/>
    <w:rsid w:val="00075F81"/>
    <w:rsid w:val="00083942"/>
    <w:rsid w:val="000878D9"/>
    <w:rsid w:val="000B1741"/>
    <w:rsid w:val="000B3BDE"/>
    <w:rsid w:val="000B5EC4"/>
    <w:rsid w:val="000B79BB"/>
    <w:rsid w:val="000C45FC"/>
    <w:rsid w:val="000C5D94"/>
    <w:rsid w:val="000F085D"/>
    <w:rsid w:val="00100FDB"/>
    <w:rsid w:val="0010445F"/>
    <w:rsid w:val="00111D6C"/>
    <w:rsid w:val="00116BBF"/>
    <w:rsid w:val="001221FC"/>
    <w:rsid w:val="00123E91"/>
    <w:rsid w:val="00127199"/>
    <w:rsid w:val="00130FE2"/>
    <w:rsid w:val="001445C0"/>
    <w:rsid w:val="00144C2C"/>
    <w:rsid w:val="0015261A"/>
    <w:rsid w:val="001644FE"/>
    <w:rsid w:val="00167608"/>
    <w:rsid w:val="00170CC9"/>
    <w:rsid w:val="00171BE1"/>
    <w:rsid w:val="00182E8A"/>
    <w:rsid w:val="001960EE"/>
    <w:rsid w:val="001A0AF6"/>
    <w:rsid w:val="001A26B1"/>
    <w:rsid w:val="001A3B37"/>
    <w:rsid w:val="001A5FFE"/>
    <w:rsid w:val="001A7E88"/>
    <w:rsid w:val="001B4C4E"/>
    <w:rsid w:val="001D2023"/>
    <w:rsid w:val="001E0EF3"/>
    <w:rsid w:val="001E7BE4"/>
    <w:rsid w:val="00200967"/>
    <w:rsid w:val="0020481B"/>
    <w:rsid w:val="00205FE3"/>
    <w:rsid w:val="002063F4"/>
    <w:rsid w:val="002239F5"/>
    <w:rsid w:val="00231A11"/>
    <w:rsid w:val="00234227"/>
    <w:rsid w:val="00235FFE"/>
    <w:rsid w:val="00240916"/>
    <w:rsid w:val="00240EE5"/>
    <w:rsid w:val="00244048"/>
    <w:rsid w:val="002455F2"/>
    <w:rsid w:val="00250D8F"/>
    <w:rsid w:val="0025755F"/>
    <w:rsid w:val="00260601"/>
    <w:rsid w:val="00266868"/>
    <w:rsid w:val="00267633"/>
    <w:rsid w:val="0027363A"/>
    <w:rsid w:val="00273975"/>
    <w:rsid w:val="0027419D"/>
    <w:rsid w:val="00274526"/>
    <w:rsid w:val="00276A09"/>
    <w:rsid w:val="00276DC9"/>
    <w:rsid w:val="00277361"/>
    <w:rsid w:val="00280D8D"/>
    <w:rsid w:val="00281683"/>
    <w:rsid w:val="00292F53"/>
    <w:rsid w:val="00297DAD"/>
    <w:rsid w:val="002B1DC0"/>
    <w:rsid w:val="002B695B"/>
    <w:rsid w:val="002C6CB1"/>
    <w:rsid w:val="002D50F7"/>
    <w:rsid w:val="002D57C3"/>
    <w:rsid w:val="002E2C1E"/>
    <w:rsid w:val="002F0595"/>
    <w:rsid w:val="00301E7D"/>
    <w:rsid w:val="003033A1"/>
    <w:rsid w:val="00306AFD"/>
    <w:rsid w:val="00314A45"/>
    <w:rsid w:val="00320C12"/>
    <w:rsid w:val="003433BD"/>
    <w:rsid w:val="003527D8"/>
    <w:rsid w:val="00353B45"/>
    <w:rsid w:val="003565CE"/>
    <w:rsid w:val="00367FD9"/>
    <w:rsid w:val="00374E81"/>
    <w:rsid w:val="003774C4"/>
    <w:rsid w:val="003775E4"/>
    <w:rsid w:val="00383CAD"/>
    <w:rsid w:val="003934F8"/>
    <w:rsid w:val="00395460"/>
    <w:rsid w:val="00395A21"/>
    <w:rsid w:val="003A77CE"/>
    <w:rsid w:val="003B3D56"/>
    <w:rsid w:val="003B7929"/>
    <w:rsid w:val="003C17DD"/>
    <w:rsid w:val="003D5381"/>
    <w:rsid w:val="003D7B23"/>
    <w:rsid w:val="003E3138"/>
    <w:rsid w:val="003F3CB0"/>
    <w:rsid w:val="003F3D65"/>
    <w:rsid w:val="003F4F52"/>
    <w:rsid w:val="00401861"/>
    <w:rsid w:val="00401D09"/>
    <w:rsid w:val="0041092E"/>
    <w:rsid w:val="00410A26"/>
    <w:rsid w:val="004236F3"/>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5C8"/>
    <w:rsid w:val="004D0771"/>
    <w:rsid w:val="004D546B"/>
    <w:rsid w:val="004D749D"/>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A4F82"/>
    <w:rsid w:val="005B0C0E"/>
    <w:rsid w:val="005D4D30"/>
    <w:rsid w:val="005D65D3"/>
    <w:rsid w:val="005E104A"/>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D42ED"/>
    <w:rsid w:val="006E12FE"/>
    <w:rsid w:val="006E30CC"/>
    <w:rsid w:val="006E621C"/>
    <w:rsid w:val="006E708E"/>
    <w:rsid w:val="006F2AAF"/>
    <w:rsid w:val="006F7711"/>
    <w:rsid w:val="00707CDD"/>
    <w:rsid w:val="00715CFE"/>
    <w:rsid w:val="0072647A"/>
    <w:rsid w:val="00732863"/>
    <w:rsid w:val="00752239"/>
    <w:rsid w:val="007522FA"/>
    <w:rsid w:val="00756C54"/>
    <w:rsid w:val="00760C36"/>
    <w:rsid w:val="007618B8"/>
    <w:rsid w:val="00782F85"/>
    <w:rsid w:val="00787518"/>
    <w:rsid w:val="00793086"/>
    <w:rsid w:val="00795FCF"/>
    <w:rsid w:val="007A593D"/>
    <w:rsid w:val="007B5593"/>
    <w:rsid w:val="007B6CBD"/>
    <w:rsid w:val="007D3AD2"/>
    <w:rsid w:val="007D4B84"/>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5185B"/>
    <w:rsid w:val="00852E36"/>
    <w:rsid w:val="00856A5C"/>
    <w:rsid w:val="00860638"/>
    <w:rsid w:val="0086551B"/>
    <w:rsid w:val="00867A3D"/>
    <w:rsid w:val="00873183"/>
    <w:rsid w:val="008876B7"/>
    <w:rsid w:val="00887D9C"/>
    <w:rsid w:val="0089264E"/>
    <w:rsid w:val="008A1A8A"/>
    <w:rsid w:val="008A32F0"/>
    <w:rsid w:val="008A3842"/>
    <w:rsid w:val="008A67F3"/>
    <w:rsid w:val="008B0E97"/>
    <w:rsid w:val="008B18AC"/>
    <w:rsid w:val="008C7165"/>
    <w:rsid w:val="008D2060"/>
    <w:rsid w:val="008D3278"/>
    <w:rsid w:val="008D6333"/>
    <w:rsid w:val="008E0253"/>
    <w:rsid w:val="008E04FB"/>
    <w:rsid w:val="008E1024"/>
    <w:rsid w:val="008E4235"/>
    <w:rsid w:val="008E4A63"/>
    <w:rsid w:val="008E713B"/>
    <w:rsid w:val="00911CCA"/>
    <w:rsid w:val="00914E68"/>
    <w:rsid w:val="009240E3"/>
    <w:rsid w:val="00930B0F"/>
    <w:rsid w:val="0094672B"/>
    <w:rsid w:val="00946B25"/>
    <w:rsid w:val="00957898"/>
    <w:rsid w:val="009675BB"/>
    <w:rsid w:val="00981199"/>
    <w:rsid w:val="00982C9B"/>
    <w:rsid w:val="00984EC9"/>
    <w:rsid w:val="009978E0"/>
    <w:rsid w:val="009A086B"/>
    <w:rsid w:val="009A2C54"/>
    <w:rsid w:val="009A321C"/>
    <w:rsid w:val="009A4898"/>
    <w:rsid w:val="009C5FC8"/>
    <w:rsid w:val="009C72E3"/>
    <w:rsid w:val="009C77C4"/>
    <w:rsid w:val="009E0F50"/>
    <w:rsid w:val="009E29AD"/>
    <w:rsid w:val="009E581D"/>
    <w:rsid w:val="009F05DC"/>
    <w:rsid w:val="009F06B7"/>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4DCA"/>
    <w:rsid w:val="00AD6499"/>
    <w:rsid w:val="00AE7C63"/>
    <w:rsid w:val="00AF2A42"/>
    <w:rsid w:val="00B05729"/>
    <w:rsid w:val="00B05E21"/>
    <w:rsid w:val="00B07688"/>
    <w:rsid w:val="00B07E38"/>
    <w:rsid w:val="00B10F1C"/>
    <w:rsid w:val="00B32BBA"/>
    <w:rsid w:val="00B34F55"/>
    <w:rsid w:val="00B36C5C"/>
    <w:rsid w:val="00B62068"/>
    <w:rsid w:val="00B81F85"/>
    <w:rsid w:val="00B82500"/>
    <w:rsid w:val="00B82634"/>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06319"/>
    <w:rsid w:val="00C13A96"/>
    <w:rsid w:val="00C21FDC"/>
    <w:rsid w:val="00C36BA5"/>
    <w:rsid w:val="00C41145"/>
    <w:rsid w:val="00C44B3E"/>
    <w:rsid w:val="00C51A9A"/>
    <w:rsid w:val="00C61E5B"/>
    <w:rsid w:val="00C6255E"/>
    <w:rsid w:val="00C64B57"/>
    <w:rsid w:val="00C74C57"/>
    <w:rsid w:val="00C8678C"/>
    <w:rsid w:val="00C9083F"/>
    <w:rsid w:val="00C9552B"/>
    <w:rsid w:val="00C957A5"/>
    <w:rsid w:val="00CA0C2B"/>
    <w:rsid w:val="00CA36C2"/>
    <w:rsid w:val="00CB022B"/>
    <w:rsid w:val="00CB2133"/>
    <w:rsid w:val="00CB4A25"/>
    <w:rsid w:val="00CC58EF"/>
    <w:rsid w:val="00CD16F2"/>
    <w:rsid w:val="00CF12E0"/>
    <w:rsid w:val="00D02DB6"/>
    <w:rsid w:val="00D065E5"/>
    <w:rsid w:val="00D07F29"/>
    <w:rsid w:val="00D41211"/>
    <w:rsid w:val="00D64FD2"/>
    <w:rsid w:val="00D65185"/>
    <w:rsid w:val="00D65954"/>
    <w:rsid w:val="00D72AE9"/>
    <w:rsid w:val="00D7481D"/>
    <w:rsid w:val="00D82252"/>
    <w:rsid w:val="00D82E5F"/>
    <w:rsid w:val="00D83976"/>
    <w:rsid w:val="00D84F90"/>
    <w:rsid w:val="00D8518E"/>
    <w:rsid w:val="00DC171A"/>
    <w:rsid w:val="00DC1884"/>
    <w:rsid w:val="00DD1E91"/>
    <w:rsid w:val="00DD5D65"/>
    <w:rsid w:val="00DD715A"/>
    <w:rsid w:val="00DE0529"/>
    <w:rsid w:val="00DF3E9D"/>
    <w:rsid w:val="00E03756"/>
    <w:rsid w:val="00E043D0"/>
    <w:rsid w:val="00E13630"/>
    <w:rsid w:val="00E1725A"/>
    <w:rsid w:val="00E30F5C"/>
    <w:rsid w:val="00E5020E"/>
    <w:rsid w:val="00E549B6"/>
    <w:rsid w:val="00E5558A"/>
    <w:rsid w:val="00E57D67"/>
    <w:rsid w:val="00E67191"/>
    <w:rsid w:val="00E7129A"/>
    <w:rsid w:val="00E7606E"/>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EF675A"/>
    <w:rsid w:val="00F00D7F"/>
    <w:rsid w:val="00F129D2"/>
    <w:rsid w:val="00F132B9"/>
    <w:rsid w:val="00F13490"/>
    <w:rsid w:val="00F15D42"/>
    <w:rsid w:val="00F163C1"/>
    <w:rsid w:val="00F23285"/>
    <w:rsid w:val="00F24CEE"/>
    <w:rsid w:val="00F27366"/>
    <w:rsid w:val="00F27496"/>
    <w:rsid w:val="00F35327"/>
    <w:rsid w:val="00F4073F"/>
    <w:rsid w:val="00F41E11"/>
    <w:rsid w:val="00F539D7"/>
    <w:rsid w:val="00F612A9"/>
    <w:rsid w:val="00F61EFA"/>
    <w:rsid w:val="00F67C70"/>
    <w:rsid w:val="00F743DA"/>
    <w:rsid w:val="00F84799"/>
    <w:rsid w:val="00F905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51174"/>
  <w15:docId w15:val="{3153E5A8-7687-4322-8DE6-4535244C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customStyle="1" w:styleId="normaltextrun">
    <w:name w:val="normaltextrun"/>
    <w:basedOn w:val="DefaultParagraphFont"/>
    <w:rsid w:val="00F67C70"/>
  </w:style>
  <w:style w:type="paragraph" w:customStyle="1" w:styleId="paragraph">
    <w:name w:val="paragraph"/>
    <w:basedOn w:val="Normal"/>
    <w:rsid w:val="00F67C70"/>
    <w:pPr>
      <w:spacing w:before="100" w:beforeAutospacing="1" w:after="100" w:afterAutospacing="1" w:line="240" w:lineRule="auto"/>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4268">
      <w:bodyDiv w:val="1"/>
      <w:marLeft w:val="0"/>
      <w:marRight w:val="0"/>
      <w:marTop w:val="0"/>
      <w:marBottom w:val="0"/>
      <w:divBdr>
        <w:top w:val="none" w:sz="0" w:space="0" w:color="auto"/>
        <w:left w:val="none" w:sz="0" w:space="0" w:color="auto"/>
        <w:bottom w:val="none" w:sz="0" w:space="0" w:color="auto"/>
        <w:right w:val="none" w:sz="0" w:space="0" w:color="auto"/>
      </w:divBdr>
    </w:div>
    <w:div w:id="1664888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housing.sharepoint.com/teams/CommunitiesOrganisationalAssets/Document%20Templates/Basic%20template%20-%20blue%20landscape%20A4.dotx" TargetMode="Externa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E33714F3EF854325AA8BBAA0BA2C5425" version="1.0.0">
  <systemFields>
    <field name="Objective-Id">
      <value order="0">A73622784</value>
    </field>
    <field name="Objective-Title">
      <value order="0">Attachment 3 - Women's Grants for a Stronger Future 2025-26 Grants Program - Full Recipient List for the two programs</value>
    </field>
    <field name="Objective-Description">
      <value order="0"/>
    </field>
    <field name="Objective-CreationStamp">
      <value order="0">2026-02-05T05:15:46Z</value>
    </field>
    <field name="Objective-IsApproved">
      <value order="0">false</value>
    </field>
    <field name="Objective-IsPublished">
      <value order="0">true</value>
    </field>
    <field name="Objective-DatePublished">
      <value order="0">2026-02-25T02:33:26Z</value>
    </field>
    <field name="Objective-ModificationStamp">
      <value order="0">2026-02-25T02:34:54Z</value>
    </field>
    <field name="Objective-Owner">
      <value order="0">Aaron Lee</value>
    </field>
    <field name="Objective-Path">
      <value order="0">Objective Global Folder:Division of Child Protection and Family Support:Office of the Director General:Executive Services:Executive Ministerials:2026:Commissioning and Contracting:CC - Grants:74 - Women's Grants for a Stronger Future 2025-26 Grants Program - Award package:[HOLD] Department Initiated Ministerial - 74 - Women's Grants for a Stronger Future 2025-26 Grants Program - Safety and Justice - Award package</value>
    </field>
    <field name="Objective-Parent">
      <value order="0">[HOLD] Department Initiated Ministerial - 74 - Women's Grants for a Stronger Future 2025-26 Grants Program - Safety and Justice - Award package</value>
    </field>
    <field name="Objective-State">
      <value order="0">Published</value>
    </field>
    <field name="Objective-VersionId">
      <value order="0">vA80953533</value>
    </field>
    <field name="Objective-Version">
      <value order="0">2.0</value>
    </field>
    <field name="Objective-VersionNumber">
      <value order="0">2</value>
    </field>
    <field name="Objective-VersionComment">
      <value order="0"/>
    </field>
    <field name="Objective-FileNumber">
      <value order="0">2026/6042</value>
    </field>
    <field name="Objective-Classification">
      <value order="0"/>
    </field>
    <field name="Objective-Caveats">
      <value order="0"/>
    </field>
  </systemFields>
  <catalogues>
    <catalogue name="Document Type Catalogue" type="type" ori="id:cA130">
      <field name="Objective-Document Type">
        <value order="0">List</value>
      </field>
      <field name="Objective-Document Sub Type">
        <value order="0"/>
      </field>
      <field name="Objective-Document Date">
        <value order="0">2026-02-04T16:00:00Z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 xsi:nil="true"/>
    <TaxCatchAll xmlns="e219927d-a993-4410-b48d-734d4bcf1f5b"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81D99D50-8EEF-4A06-85A9-ED54856AB144}">
  <ds:schemaRefs>
    <ds:schemaRef ds:uri="http://schemas.microsoft.com/sharepoint/v3/contenttype/forms"/>
  </ds:schemaRefs>
</ds:datastoreItem>
</file>

<file path=customXml/itemProps3.xml><?xml version="1.0" encoding="utf-8"?>
<ds:datastoreItem xmlns:ds="http://schemas.openxmlformats.org/officeDocument/2006/customXml" ds:itemID="{4D251BE6-EAA2-4187-A32E-F0C37025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DB58C-7364-466A-B90D-E3B8165F361C}">
  <ds:schemaRefs>
    <ds:schemaRef ds:uri="Microsoft.SharePoint.Taxonomy.ContentTypeSync"/>
  </ds:schemaRefs>
</ds:datastoreItem>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6.xml><?xml version="1.0" encoding="utf-8"?>
<ds:datastoreItem xmlns:ds="http://schemas.openxmlformats.org/officeDocument/2006/customXml" ds:itemID="{515A75B1-948B-49EC-B9AC-37C2974636F6}">
  <ds:schemaRefs>
    <ds:schemaRef ds:uri="http://schemas.microsoft.com/office/2006/metadata/properties"/>
    <ds:schemaRef ds:uri="http://schemas.microsoft.com/office/infopath/2007/PartnerControls"/>
    <ds:schemaRef ds:uri="e219927d-a993-4410-b48d-734d4bcf1f5b"/>
  </ds:schemaRefs>
</ds:datastoreItem>
</file>

<file path=docProps/app.xml><?xml version="1.0" encoding="utf-8"?>
<Properties xmlns="http://schemas.openxmlformats.org/officeDocument/2006/extended-properties" xmlns:vt="http://schemas.openxmlformats.org/officeDocument/2006/docPropsVTypes">
  <Template>Basic%20template%20-%20blue%20landscape%20A4.dotx</Template>
  <TotalTime>1</TotalTime>
  <Pages>12</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13421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aarlee</dc:creator>
  <cp:keywords/>
  <cp:lastModifiedBy>Peter Caruso</cp:lastModifiedBy>
  <cp:revision>2</cp:revision>
  <dcterms:created xsi:type="dcterms:W3CDTF">2026-03-05T02:29:00Z</dcterms:created>
  <dcterms:modified xsi:type="dcterms:W3CDTF">2026-03-05T02:29:00Z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1890c463,261a32ea,2952a366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2025-07-04T01:26:10Z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c43e904b-1d37-4b79-a6a9-47e977fb3de3</vt:lpwstr>
  </property>
  <property fmtid="{D5CDD505-2E9C-101B-9397-08002B2CF9AE}" pid="11" name="MSIP_Label_01af4abc-7e38-4153-bace-cc7e19e3a22a_ContentBits">
    <vt:lpwstr>1</vt:lpwstr>
  </property>
  <property fmtid="{D5CDD505-2E9C-101B-9397-08002B2CF9AE}" pid="12" name="ContentTypeId">
    <vt:lpwstr>0x01010000739C5F412E4FFF9422A5756B897F2D0012E627D799F534468D55A1BDBE399DD6</vt:lpwstr>
  </property>
  <property fmtid="{D5CDD505-2E9C-101B-9397-08002B2CF9AE}" pid="13" name="Objective-Id">
    <vt:lpwstr>A73622784</vt:lpwstr>
  </property>
  <property fmtid="{D5CDD505-2E9C-101B-9397-08002B2CF9AE}" pid="14" name="Objective-Title">
    <vt:lpwstr>Attachment 3 - Women's Grants for a Stronger Future 2025-26 Grants Program - Full Recipient List for the two programs</vt:lpwstr>
  </property>
  <property fmtid="{D5CDD505-2E9C-101B-9397-08002B2CF9AE}" pid="15" name="Objective-Description">
    <vt:lpwstr/>
  </property>
  <property fmtid="{D5CDD505-2E9C-101B-9397-08002B2CF9AE}" pid="16" name="Objective-CreationStamp">
    <vt:filetime>2026-02-05T05:16:53Z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2026-02-25T02:33:26Z</vt:filetime>
  </property>
  <property fmtid="{D5CDD505-2E9C-101B-9397-08002B2CF9AE}" pid="20" name="Objective-ModificationStamp">
    <vt:filetime>2026-02-25T02:34:54Z</vt:filetime>
  </property>
  <property fmtid="{D5CDD505-2E9C-101B-9397-08002B2CF9AE}" pid="21" name="Objective-Owner">
    <vt:lpwstr>Aaron Lee</vt:lpwstr>
  </property>
  <property fmtid="{D5CDD505-2E9C-101B-9397-08002B2CF9AE}" pid="22" name="Objective-Path">
    <vt:lpwstr>Objective Global Folder:Division of Child Protection and Family Support:Office of the Director General:Executive Services:Executive Ministerials:2026:Commissioning and Contracting:CC - Grants:74 - Women's Grants for a Stronger Future 2025-26 Grants Program - Award package:[HOLD] Department Initiated Ministerial - 74 - Women's Grants for a Stronger Future 2025-26 Grants Program - Safety and Justice - Award package:</vt:lpwstr>
  </property>
  <property fmtid="{D5CDD505-2E9C-101B-9397-08002B2CF9AE}" pid="23" name="Objective-Parent">
    <vt:lpwstr>[HOLD] Department Initiated Ministerial - 74 - Women's Grants for a Stronger Future 2025-26 Grants Program - Safety and Justice - Award package</vt:lpwstr>
  </property>
  <property fmtid="{D5CDD505-2E9C-101B-9397-08002B2CF9AE}" pid="24" name="Objective-State">
    <vt:lpwstr>Published</vt:lpwstr>
  </property>
  <property fmtid="{D5CDD505-2E9C-101B-9397-08002B2CF9AE}" pid="25" name="Objective-VersionId">
    <vt:lpwstr>vA80953533</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2026/6042</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Document Type">
    <vt:lpwstr>List</vt:lpwstr>
  </property>
  <property fmtid="{D5CDD505-2E9C-101B-9397-08002B2CF9AE}" pid="33" name="Objective-Document Sub Type">
    <vt:lpwstr/>
  </property>
  <property fmtid="{D5CDD505-2E9C-101B-9397-08002B2CF9AE}" pid="34" name="Objective-Document Date">
    <vt:filetime>2026-02-04T16:00:00Z</vt:filetime>
  </property>
  <property fmtid="{D5CDD505-2E9C-101B-9397-08002B2CF9AE}" pid="35" name="Objective-Security Classification">
    <vt:lpwstr/>
  </property>
  <property fmtid="{D5CDD505-2E9C-101B-9397-08002B2CF9AE}" pid="36" name="Objective-Addressee">
    <vt:lpwstr/>
  </property>
  <property fmtid="{D5CDD505-2E9C-101B-9397-08002B2CF9AE}" pid="37" name="Objective-Signatory">
    <vt:lpwstr/>
  </property>
  <property fmtid="{D5CDD505-2E9C-101B-9397-08002B2CF9AE}" pid="38" name="Objective-Document Description">
    <vt:lpwstr/>
  </property>
  <property fmtid="{D5CDD505-2E9C-101B-9397-08002B2CF9AE}" pid="39" name="Objective-Publish Exemption">
    <vt:lpwstr>No</vt:lpwstr>
  </property>
  <property fmtid="{D5CDD505-2E9C-101B-9397-08002B2CF9AE}" pid="40" name="Objective-Approval Status">
    <vt:lpwstr/>
  </property>
  <property fmtid="{D5CDD505-2E9C-101B-9397-08002B2CF9AE}" pid="41" name="Objective-Connect Creator">
    <vt:lpwstr/>
  </property>
  <property fmtid="{D5CDD505-2E9C-101B-9397-08002B2CF9AE}" pid="42" name="Objective-Mail Returned">
    <vt:lpwstr/>
  </property>
  <property fmtid="{D5CDD505-2E9C-101B-9397-08002B2CF9AE}" pid="43" name="Objective-Comment">
    <vt:lpwstr/>
  </property>
</Properties>
</file>