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A3CD" w14:textId="0298BBF4" w:rsidR="00E438EF" w:rsidRDefault="00212148" w:rsidP="00AE0805">
      <w:pPr>
        <w:pStyle w:val="Heading1"/>
        <w:spacing w:before="720"/>
        <w:sectPr w:rsidR="00E438EF">
          <w:headerReference w:type="default" r:id="rId11"/>
          <w:footerReference w:type="default" r:id="rId12"/>
          <w:pgSz w:w="12240" w:h="15840"/>
          <w:pgMar w:top="1440" w:right="1440" w:bottom="1440" w:left="1440" w:header="720" w:footer="720" w:gutter="0"/>
          <w:cols w:space="720"/>
          <w:docGrid w:linePitch="360"/>
        </w:sectPr>
      </w:pPr>
      <w:r>
        <w:t xml:space="preserve">2023 </w:t>
      </w:r>
      <w:r w:rsidR="5849A952">
        <w:t xml:space="preserve">WA Public Sector </w:t>
      </w:r>
      <w:r>
        <w:t>Census – Sector Insight</w:t>
      </w:r>
      <w:r w:rsidR="00861C9A">
        <w:t>s</w:t>
      </w:r>
    </w:p>
    <w:p w14:paraId="49C00904" w14:textId="77777777" w:rsidR="00861C9A" w:rsidRDefault="00861C9A" w:rsidP="00861C9A">
      <w:pPr>
        <w:rPr>
          <w:rStyle w:val="Heading1Char"/>
          <w:b w:val="0"/>
          <w:sz w:val="32"/>
          <w:szCs w:val="26"/>
        </w:rPr>
      </w:pPr>
    </w:p>
    <w:p w14:paraId="31B88186" w14:textId="2E09D1BD" w:rsidR="002D50CE" w:rsidRDefault="002D50CE">
      <w:pPr>
        <w:pStyle w:val="Heading2"/>
        <w:rPr>
          <w:rStyle w:val="Heading1Char"/>
          <w:b/>
          <w:sz w:val="32"/>
          <w:szCs w:val="26"/>
        </w:rPr>
      </w:pPr>
      <w:r>
        <w:rPr>
          <w:rStyle w:val="Heading1Char"/>
          <w:b/>
          <w:sz w:val="32"/>
          <w:szCs w:val="26"/>
        </w:rPr>
        <w:t>Introduction</w:t>
      </w:r>
    </w:p>
    <w:p w14:paraId="6489C59C" w14:textId="77777777" w:rsidR="00861C9A" w:rsidRDefault="00861C9A" w:rsidP="00861C9A">
      <w:r>
        <w:t xml:space="preserve">The first WA Public Sector Census was conducted in March and April 2023. </w:t>
      </w:r>
    </w:p>
    <w:p w14:paraId="146ED973" w14:textId="77777777" w:rsidR="00861C9A" w:rsidRDefault="00861C9A" w:rsidP="00861C9A">
      <w:r>
        <w:t>It heard from more than 47,000 employees which is around 30% of the workforce.</w:t>
      </w:r>
    </w:p>
    <w:p w14:paraId="7B98DA34" w14:textId="77777777" w:rsidR="00861C9A" w:rsidRDefault="00861C9A" w:rsidP="00861C9A">
      <w:r>
        <w:t xml:space="preserve">The information collected is an opportunity to learn about the workforce and the experiences of employees in their workplaces. </w:t>
      </w:r>
    </w:p>
    <w:p w14:paraId="2D698427" w14:textId="77777777" w:rsidR="00861C9A" w:rsidRDefault="00861C9A" w:rsidP="00861C9A">
      <w:r>
        <w:t>The information gained through the census will be used by the sector and individual agencies to build on strengths, improve operations and better support employees.</w:t>
      </w:r>
    </w:p>
    <w:p w14:paraId="5E479C24" w14:textId="77777777" w:rsidR="00E32714" w:rsidRDefault="00E32714" w:rsidP="00861C9A">
      <w:pPr>
        <w:rPr>
          <w:b/>
        </w:rPr>
      </w:pPr>
    </w:p>
    <w:p w14:paraId="689A1E54" w14:textId="5E2F7926" w:rsidR="00A55534" w:rsidRPr="00A55534" w:rsidRDefault="00A55534" w:rsidP="00861C9A">
      <w:r w:rsidRPr="00A55534">
        <w:rPr>
          <w:b/>
        </w:rPr>
        <w:t>© State of Western Australia 2023</w:t>
      </w:r>
    </w:p>
    <w:p w14:paraId="7B8A7047" w14:textId="77777777" w:rsidR="00A55534" w:rsidRDefault="00A55534" w:rsidP="00861C9A">
      <w:r w:rsidRPr="00A55534">
        <w:t xml:space="preserve">The State of Western Australia owns or licenses the copyright in this material. You may reproduce or communicate the material in an unaltered form (retaining this notice) for your own personal use, non-commercial use in your </w:t>
      </w:r>
      <w:proofErr w:type="spellStart"/>
      <w:r w:rsidRPr="00A55534">
        <w:t>organisation</w:t>
      </w:r>
      <w:proofErr w:type="spellEnd"/>
      <w:r w:rsidRPr="00A55534">
        <w:t xml:space="preserve">, or as permitted under the </w:t>
      </w:r>
      <w:r w:rsidRPr="00A55534">
        <w:rPr>
          <w:i/>
        </w:rPr>
        <w:t>Copyright Act 1968</w:t>
      </w:r>
      <w:r w:rsidRPr="00A55534">
        <w:t xml:space="preserve"> (for example ‘fair dealing’). You must not reproduce, modify, </w:t>
      </w:r>
      <w:proofErr w:type="gramStart"/>
      <w:r w:rsidRPr="00A55534">
        <w:t>communicate</w:t>
      </w:r>
      <w:proofErr w:type="gramEnd"/>
      <w:r w:rsidRPr="00A55534">
        <w:t xml:space="preserve"> or use any part of the material for a commercial purpose without prior written approval from the Public Sector Commission.</w:t>
      </w:r>
    </w:p>
    <w:p w14:paraId="31B8826F" w14:textId="354B607B" w:rsidR="005D0596" w:rsidRPr="005D0596" w:rsidRDefault="005D0596" w:rsidP="005D0596">
      <w:pPr>
        <w:pStyle w:val="Heading2"/>
        <w:rPr>
          <w:rStyle w:val="Heading1Char"/>
          <w:b/>
          <w:bCs/>
          <w:sz w:val="32"/>
          <w:szCs w:val="26"/>
        </w:rPr>
      </w:pPr>
      <w:r w:rsidRPr="005D0596">
        <w:rPr>
          <w:rStyle w:val="Heading1Char"/>
          <w:b/>
          <w:bCs/>
          <w:sz w:val="32"/>
          <w:szCs w:val="26"/>
        </w:rPr>
        <w:t xml:space="preserve">Contact </w:t>
      </w:r>
      <w:proofErr w:type="gramStart"/>
      <w:r w:rsidRPr="005D0596">
        <w:rPr>
          <w:rStyle w:val="Heading1Char"/>
          <w:b/>
          <w:bCs/>
          <w:sz w:val="32"/>
          <w:szCs w:val="26"/>
        </w:rPr>
        <w:t>information</w:t>
      </w:r>
      <w:proofErr w:type="gramEnd"/>
    </w:p>
    <w:p w14:paraId="291224C4" w14:textId="77777777" w:rsidR="005D0596" w:rsidRPr="005D0596" w:rsidRDefault="005D0596" w:rsidP="00861C9A">
      <w:r w:rsidRPr="005D0596">
        <w:t>Public Sector Commission</w:t>
      </w:r>
    </w:p>
    <w:p w14:paraId="3DE9CDF4" w14:textId="4211557F" w:rsidR="005D0596" w:rsidRPr="005D0596" w:rsidRDefault="005D0596" w:rsidP="00861C9A">
      <w:r w:rsidRPr="005D0596">
        <w:t>Dumas House, 2 Havelock Street</w:t>
      </w:r>
      <w:r>
        <w:t>, West Perth</w:t>
      </w:r>
      <w:r w:rsidRPr="005D0596">
        <w:t xml:space="preserve"> </w:t>
      </w:r>
      <w:r>
        <w:t>Western Australia</w:t>
      </w:r>
      <w:r w:rsidRPr="005D0596">
        <w:t xml:space="preserve"> 6005</w:t>
      </w:r>
    </w:p>
    <w:p w14:paraId="4D8ED937" w14:textId="4DC60899" w:rsidR="005D0596" w:rsidRPr="005D0596" w:rsidRDefault="005D0596" w:rsidP="00861C9A">
      <w:r w:rsidRPr="005D0596">
        <w:t>Tel</w:t>
      </w:r>
      <w:r>
        <w:t>ephone</w:t>
      </w:r>
      <w:r w:rsidRPr="005D0596">
        <w:t>: 08 6552 8500</w:t>
      </w:r>
    </w:p>
    <w:p w14:paraId="7C2FE912" w14:textId="77777777" w:rsidR="005D0596" w:rsidRPr="005D0596" w:rsidRDefault="005D0596" w:rsidP="00861C9A">
      <w:r w:rsidRPr="005D0596">
        <w:t>Email: admin@psc.wa.gov.au</w:t>
      </w:r>
    </w:p>
    <w:p w14:paraId="159334BA" w14:textId="6A099FA9" w:rsidR="005D0596" w:rsidRPr="00A55534" w:rsidRDefault="005D0596" w:rsidP="00861C9A">
      <w:r w:rsidRPr="005D0596">
        <w:t>W</w:t>
      </w:r>
      <w:r>
        <w:t>ebsite</w:t>
      </w:r>
      <w:r w:rsidRPr="005D0596">
        <w:t>: WA.gov.au</w:t>
      </w:r>
    </w:p>
    <w:p w14:paraId="31E95F31" w14:textId="77777777" w:rsidR="00A55534" w:rsidRDefault="00A55534">
      <w:pPr>
        <w:rPr>
          <w:rFonts w:ascii="Century Gothic" w:eastAsiaTheme="majorEastAsia" w:hAnsi="Century Gothic" w:cstheme="majorBidi"/>
          <w:b/>
          <w:sz w:val="32"/>
          <w:szCs w:val="26"/>
        </w:rPr>
      </w:pPr>
      <w:r>
        <w:br w:type="page"/>
      </w:r>
    </w:p>
    <w:p w14:paraId="01D1816E" w14:textId="4DBEF5D2" w:rsidR="000E4DF8" w:rsidRDefault="000E4DF8" w:rsidP="00E67942">
      <w:pPr>
        <w:pStyle w:val="Heading1"/>
      </w:pPr>
      <w:r>
        <w:lastRenderedPageBreak/>
        <w:t>Themes</w:t>
      </w:r>
    </w:p>
    <w:p w14:paraId="0175BB5F" w14:textId="3D7337FF" w:rsidR="006019D2" w:rsidRPr="00B90557" w:rsidRDefault="006019D2" w:rsidP="00E67942">
      <w:r>
        <w:t xml:space="preserve">This report is divided into sections based on themes </w:t>
      </w:r>
      <w:r w:rsidR="00D76BE4">
        <w:t>that are contained in the results</w:t>
      </w:r>
      <w:r w:rsidR="00526E9D">
        <w:t>. Th</w:t>
      </w:r>
      <w:r w:rsidR="00C27AA4">
        <w:t>e list of themes is as follows.</w:t>
      </w:r>
    </w:p>
    <w:p w14:paraId="12627937" w14:textId="776110B3" w:rsidR="000E4DF8" w:rsidRDefault="00E612A3" w:rsidP="00E67942">
      <w:pPr>
        <w:pStyle w:val="Heading2"/>
      </w:pPr>
      <w:r>
        <w:t>Collection performance scorecard</w:t>
      </w:r>
    </w:p>
    <w:p w14:paraId="5EFFB0E5" w14:textId="41FBD06A" w:rsidR="00E612A3" w:rsidRDefault="00E612A3" w:rsidP="00E612A3">
      <w:r>
        <w:t>A snapshot of key performance indicators and measures</w:t>
      </w:r>
      <w:r w:rsidR="001B169D">
        <w:t xml:space="preserve"> of success o</w:t>
      </w:r>
      <w:r w:rsidR="009E5D75">
        <w:t>f the administration of the census.</w:t>
      </w:r>
    </w:p>
    <w:p w14:paraId="59D39358" w14:textId="53F5854E" w:rsidR="009E5D75" w:rsidRDefault="009E5D75" w:rsidP="00E67942">
      <w:pPr>
        <w:pStyle w:val="Heading2"/>
      </w:pPr>
      <w:r>
        <w:t>Demographics</w:t>
      </w:r>
    </w:p>
    <w:p w14:paraId="1473D1FC" w14:textId="7572170F" w:rsidR="009E5D75" w:rsidRDefault="009E5D75" w:rsidP="009E5D75">
      <w:r>
        <w:t>Key demographics and employee profile of those who responded to the Census compared to sector wide payroll data.</w:t>
      </w:r>
    </w:p>
    <w:p w14:paraId="604EF19F" w14:textId="18D90360" w:rsidR="003B5B48" w:rsidRDefault="003B5B48" w:rsidP="00E67942">
      <w:pPr>
        <w:pStyle w:val="Heading2"/>
      </w:pPr>
      <w:r>
        <w:t>Workforce characteristics</w:t>
      </w:r>
    </w:p>
    <w:p w14:paraId="3D42AD55" w14:textId="78FDEF4B" w:rsidR="003B5B48" w:rsidRDefault="003B5B48" w:rsidP="003B5B48">
      <w:r>
        <w:t>Insights related to public sector tenure, working arrangements, leave, main types of work and other related workforce characteristics.</w:t>
      </w:r>
    </w:p>
    <w:p w14:paraId="325AB1C4" w14:textId="41B5ED1C" w:rsidR="003B5B48" w:rsidRDefault="003B5B48" w:rsidP="00E67942">
      <w:pPr>
        <w:pStyle w:val="Heading2"/>
      </w:pPr>
      <w:r>
        <w:t>Diversity</w:t>
      </w:r>
    </w:p>
    <w:p w14:paraId="4986F97C" w14:textId="74812322" w:rsidR="003B5B48" w:rsidRDefault="003B5B48" w:rsidP="003B5B48">
      <w:r>
        <w:t>Insights about the mix and differences of our emplo</w:t>
      </w:r>
      <w:r w:rsidR="001F1C8E">
        <w:t>yees based on self-identification. This covers culture, Aboriginal and or Torres Strait Islander background, disability, sexual orientation, gender identity and sex characteristics.</w:t>
      </w:r>
    </w:p>
    <w:p w14:paraId="65DBBC11" w14:textId="34DAD802" w:rsidR="00AB4726" w:rsidRDefault="00AB4726" w:rsidP="00E67942">
      <w:pPr>
        <w:pStyle w:val="Heading2"/>
      </w:pPr>
      <w:r>
        <w:t xml:space="preserve">Safe to </w:t>
      </w:r>
      <w:proofErr w:type="gramStart"/>
      <w:r>
        <w:t>share</w:t>
      </w:r>
      <w:proofErr w:type="gramEnd"/>
    </w:p>
    <w:p w14:paraId="653DB00E" w14:textId="2157C26B" w:rsidR="00AB4726" w:rsidRDefault="00AB4726" w:rsidP="00AB4726">
      <w:r>
        <w:t>Insights about an employee</w:t>
      </w:r>
      <w:r w:rsidR="0041673B">
        <w:t>’s willingness to share their diversity with their agency, and if not, why not.</w:t>
      </w:r>
      <w:r w:rsidR="00513B80">
        <w:t xml:space="preserve"> Insights into employee’s </w:t>
      </w:r>
      <w:r w:rsidR="00ED39E6">
        <w:t xml:space="preserve">sharing </w:t>
      </w:r>
      <w:proofErr w:type="spellStart"/>
      <w:r w:rsidR="00ED39E6">
        <w:t>behaviour</w:t>
      </w:r>
      <w:proofErr w:type="spellEnd"/>
      <w:r w:rsidR="00ED39E6">
        <w:t xml:space="preserve"> of integrity matters with their agency and the reasons for not reporting.</w:t>
      </w:r>
    </w:p>
    <w:p w14:paraId="6C5B2F4B" w14:textId="649339C1" w:rsidR="00ED39E6" w:rsidRDefault="00ED39E6" w:rsidP="00E67942">
      <w:pPr>
        <w:pStyle w:val="Heading2"/>
      </w:pPr>
      <w:r>
        <w:t>Integrity behaviours</w:t>
      </w:r>
    </w:p>
    <w:p w14:paraId="35F853D7" w14:textId="51E97CE3" w:rsidR="00ED39E6" w:rsidRDefault="00ED39E6" w:rsidP="00ED39E6">
      <w:r>
        <w:t xml:space="preserve">Insights into integrity </w:t>
      </w:r>
      <w:proofErr w:type="spellStart"/>
      <w:r>
        <w:t>behaviours</w:t>
      </w:r>
      <w:proofErr w:type="spellEnd"/>
      <w:r>
        <w:t xml:space="preserve"> in the last 12 months related to proper processes, gifts, benefits, hospitality, bullying and harassment, and discrimination.</w:t>
      </w:r>
    </w:p>
    <w:p w14:paraId="60A496D9" w14:textId="1091F3AE" w:rsidR="00ED39E6" w:rsidRDefault="00E22A35" w:rsidP="00E67942">
      <w:pPr>
        <w:pStyle w:val="Heading2"/>
      </w:pPr>
      <w:r>
        <w:t>Workforce intentions</w:t>
      </w:r>
    </w:p>
    <w:p w14:paraId="57307C9A" w14:textId="2CBA6116" w:rsidR="00E22A35" w:rsidRDefault="00E22A35" w:rsidP="00E22A35">
      <w:r>
        <w:t>The characteristics of employees who intend to stay or leave their agency and their reasons.</w:t>
      </w:r>
    </w:p>
    <w:p w14:paraId="087A680E" w14:textId="30114FAB" w:rsidR="006C2020" w:rsidRDefault="006C2020" w:rsidP="00E67942">
      <w:pPr>
        <w:pStyle w:val="Heading2"/>
      </w:pPr>
      <w:r>
        <w:t>Leadership, performance and development</w:t>
      </w:r>
    </w:p>
    <w:p w14:paraId="1F7A9546" w14:textId="78A51EFD" w:rsidR="006C2020" w:rsidRDefault="006C2020">
      <w:r>
        <w:t xml:space="preserve">Employees </w:t>
      </w:r>
      <w:proofErr w:type="spellStart"/>
      <w:r>
        <w:t>self identification</w:t>
      </w:r>
      <w:proofErr w:type="spellEnd"/>
      <w:r>
        <w:t xml:space="preserve"> as a leader, details about their performance and development agreements, and studying activities.</w:t>
      </w:r>
    </w:p>
    <w:p w14:paraId="1C1E60B5" w14:textId="4F87C10C" w:rsidR="003355B7" w:rsidRDefault="003355B7">
      <w:r>
        <w:br w:type="page"/>
      </w:r>
    </w:p>
    <w:p w14:paraId="7493BC53" w14:textId="0AD9C2B1" w:rsidR="005C6E33" w:rsidRPr="008C7B74" w:rsidRDefault="002F2CE3" w:rsidP="008C7B74">
      <w:pPr>
        <w:pStyle w:val="Heading1"/>
        <w:rPr>
          <w:rStyle w:val="Heading1Char"/>
          <w:b/>
          <w:szCs w:val="44"/>
        </w:rPr>
      </w:pPr>
      <w:r w:rsidRPr="008C7B74">
        <w:rPr>
          <w:rStyle w:val="Heading1Char"/>
          <w:b/>
          <w:szCs w:val="44"/>
        </w:rPr>
        <w:lastRenderedPageBreak/>
        <w:t xml:space="preserve">Collection </w:t>
      </w:r>
      <w:r w:rsidRPr="008C7B74">
        <w:rPr>
          <w:rStyle w:val="Heading1Char"/>
          <w:b/>
        </w:rPr>
        <w:t>performance</w:t>
      </w:r>
      <w:r w:rsidRPr="008C7B74">
        <w:rPr>
          <w:rStyle w:val="Heading1Char"/>
          <w:b/>
          <w:szCs w:val="44"/>
        </w:rPr>
        <w:t xml:space="preserve"> scorecard</w:t>
      </w:r>
    </w:p>
    <w:p w14:paraId="6738E4AF" w14:textId="53068D0C" w:rsidR="00874AE6" w:rsidRDefault="00532950" w:rsidP="00861C9A">
      <w:r w:rsidRPr="00E67942">
        <w:t>The 2023 WA Public Sector Census was conducted from 6 March to 16 April 2023 and is the largest WA public sector employee collection to date.</w:t>
      </w:r>
      <w:r w:rsidR="002F2CE3">
        <w:t xml:space="preserve"> </w:t>
      </w:r>
      <w:r w:rsidR="00874AE6">
        <w:t>It involved 66 agencies covering 116 entities.</w:t>
      </w:r>
    </w:p>
    <w:p w14:paraId="2EE467CB" w14:textId="0CA9EA57" w:rsidR="00CA5C32" w:rsidRPr="00E67942" w:rsidRDefault="002F2CE3" w:rsidP="00861C9A">
      <w:r>
        <w:t xml:space="preserve">Key information related to the </w:t>
      </w:r>
      <w:r w:rsidR="009564BB">
        <w:t>collection of results are as follows:</w:t>
      </w:r>
    </w:p>
    <w:p w14:paraId="42D10E94" w14:textId="3FC70580" w:rsidR="00D5203A" w:rsidRDefault="00D5203A" w:rsidP="00861C9A">
      <w:r>
        <w:t xml:space="preserve">47,115 responses </w:t>
      </w:r>
      <w:r w:rsidR="00874AE6">
        <w:t xml:space="preserve">received </w:t>
      </w:r>
      <w:r>
        <w:t>out of 165,340 employees</w:t>
      </w:r>
      <w:r w:rsidR="009564BB">
        <w:t xml:space="preserve"> in the sector.</w:t>
      </w:r>
      <w:r w:rsidR="00874AE6">
        <w:t xml:space="preserve"> This equates to a </w:t>
      </w:r>
      <w:r>
        <w:t>28.5% response rate</w:t>
      </w:r>
      <w:r w:rsidR="00874AE6">
        <w:t>.</w:t>
      </w:r>
    </w:p>
    <w:p w14:paraId="088B4685" w14:textId="72F14856" w:rsidR="007F4C34" w:rsidRDefault="00F22F9E" w:rsidP="00861C9A">
      <w:r>
        <w:t xml:space="preserve">14 of 66 agencies achieved </w:t>
      </w:r>
      <w:r w:rsidR="003F53CC">
        <w:t xml:space="preserve">a </w:t>
      </w:r>
      <w:r>
        <w:t>response rate</w:t>
      </w:r>
      <w:r w:rsidR="003F53CC">
        <w:t xml:space="preserve"> of 90% or above</w:t>
      </w:r>
      <w:r w:rsidR="00EF25B1">
        <w:t>.</w:t>
      </w:r>
    </w:p>
    <w:p w14:paraId="1BA3E9A2" w14:textId="729D3789" w:rsidR="00F22F9E" w:rsidRDefault="00F22F9E" w:rsidP="00861C9A">
      <w:r>
        <w:t>34 of 66</w:t>
      </w:r>
      <w:r w:rsidR="00EF25B1">
        <w:t xml:space="preserve"> agencies</w:t>
      </w:r>
      <w:r>
        <w:t xml:space="preserve"> achieved </w:t>
      </w:r>
      <w:r w:rsidR="003F53CC">
        <w:t xml:space="preserve">a </w:t>
      </w:r>
      <w:r>
        <w:t>response rate</w:t>
      </w:r>
      <w:r w:rsidR="003F53CC">
        <w:t xml:space="preserve"> of 70% or above</w:t>
      </w:r>
      <w:r w:rsidR="00EF25B1">
        <w:t>.</w:t>
      </w:r>
    </w:p>
    <w:p w14:paraId="23BBFABE" w14:textId="7F22E520" w:rsidR="00F22F9E" w:rsidRDefault="00EF25B1" w:rsidP="00861C9A">
      <w:r>
        <w:t>50 of 66</w:t>
      </w:r>
      <w:r w:rsidR="00F22F9E">
        <w:t xml:space="preserve"> agencies achieved </w:t>
      </w:r>
      <w:r w:rsidR="00BB3D2E">
        <w:t xml:space="preserve">a </w:t>
      </w:r>
      <w:r w:rsidR="00F22F9E">
        <w:t>response rate</w:t>
      </w:r>
      <w:r w:rsidR="00BB3D2E">
        <w:t xml:space="preserve"> of 50% and above</w:t>
      </w:r>
      <w:r>
        <w:t>.</w:t>
      </w:r>
    </w:p>
    <w:p w14:paraId="3AE42F48" w14:textId="0483E653" w:rsidR="00874AE6" w:rsidRDefault="00874AE6" w:rsidP="00861C9A">
      <w:r>
        <w:t>The average response rate across agencies was 66%.</w:t>
      </w:r>
    </w:p>
    <w:p w14:paraId="5EF6ADDA" w14:textId="77777777" w:rsidR="00874AE6" w:rsidRDefault="00874AE6" w:rsidP="00861C9A">
      <w:r>
        <w:t>Excluding Health and Education gives a response rate of 55% which is 27,854 out of 50,375 employees.</w:t>
      </w:r>
    </w:p>
    <w:p w14:paraId="38787616" w14:textId="77777777" w:rsidR="00874AE6" w:rsidRDefault="00874AE6" w:rsidP="00861C9A">
      <w:r>
        <w:t>The Department of Education received a 20% response rate, which is 11,370 out of 56,988 employees.</w:t>
      </w:r>
    </w:p>
    <w:p w14:paraId="0057076F" w14:textId="77777777" w:rsidR="00874AE6" w:rsidRDefault="00874AE6" w:rsidP="00861C9A">
      <w:r>
        <w:t>WA Health portfolio, including the Department of Health and Health Service providers received a 14% response rate, which is 7,892 out of 57,977 employees.</w:t>
      </w:r>
    </w:p>
    <w:p w14:paraId="46FF908C" w14:textId="67D07CE0" w:rsidR="00F22F9E" w:rsidRDefault="00874AE6" w:rsidP="00861C9A">
      <w:r>
        <w:t>A</w:t>
      </w:r>
      <w:r w:rsidR="000F3530">
        <w:t xml:space="preserve"> diagram shows the relative response rates</w:t>
      </w:r>
      <w:r w:rsidR="00342A6F">
        <w:t xml:space="preserve"> between public sectorwide workforce questionnaires in different Australian jurisdictions.</w:t>
      </w:r>
      <w:r w:rsidR="0049164B">
        <w:t xml:space="preserve"> WA has the highest response rate for first year sector wide workforce questionnaire</w:t>
      </w:r>
      <w:r w:rsidR="005470C2">
        <w:t xml:space="preserve"> which included all </w:t>
      </w:r>
      <w:proofErr w:type="gramStart"/>
      <w:r w:rsidR="005470C2">
        <w:t>front line</w:t>
      </w:r>
      <w:proofErr w:type="gramEnd"/>
      <w:r w:rsidR="005470C2">
        <w:t xml:space="preserve"> employees. Note that Queensland excluded </w:t>
      </w:r>
      <w:r w:rsidR="00A11C49">
        <w:t>teachers.</w:t>
      </w:r>
    </w:p>
    <w:p w14:paraId="6B526A0C" w14:textId="300A9DD9" w:rsidR="001E7801" w:rsidRDefault="00BE56F4" w:rsidP="00861C9A">
      <w:r>
        <w:t xml:space="preserve">Western </w:t>
      </w:r>
      <w:r w:rsidR="001E7801">
        <w:t>A</w:t>
      </w:r>
      <w:r>
        <w:t>ustralia</w:t>
      </w:r>
      <w:r w:rsidR="001E7801">
        <w:t xml:space="preserve"> </w:t>
      </w:r>
      <w:r w:rsidR="002D7CC0">
        <w:t>– 28.5%</w:t>
      </w:r>
      <w:r w:rsidR="007B2016">
        <w:t>.</w:t>
      </w:r>
    </w:p>
    <w:p w14:paraId="5439B00C" w14:textId="22564C8D" w:rsidR="002D7CC0" w:rsidRDefault="00BE56F4" w:rsidP="00861C9A">
      <w:r>
        <w:t>Victoria</w:t>
      </w:r>
      <w:r w:rsidR="002D7CC0">
        <w:t xml:space="preserve"> – 27%</w:t>
      </w:r>
      <w:r w:rsidR="007B2016">
        <w:t>.</w:t>
      </w:r>
    </w:p>
    <w:p w14:paraId="2AE80F32" w14:textId="63C371F8" w:rsidR="002D7CC0" w:rsidRDefault="00BE56F4" w:rsidP="00861C9A">
      <w:r>
        <w:t>Northern Territory</w:t>
      </w:r>
      <w:r w:rsidR="002D7CC0">
        <w:t xml:space="preserve"> – 25%</w:t>
      </w:r>
      <w:r w:rsidR="007B2016">
        <w:t>.</w:t>
      </w:r>
    </w:p>
    <w:p w14:paraId="17BCFE38" w14:textId="5BB6388F" w:rsidR="002D7CC0" w:rsidRDefault="00BE56F4" w:rsidP="00861C9A">
      <w:r>
        <w:t>South Australia</w:t>
      </w:r>
      <w:r w:rsidR="002D7CC0">
        <w:t xml:space="preserve"> – 22%</w:t>
      </w:r>
      <w:r w:rsidR="007B2016">
        <w:t>.</w:t>
      </w:r>
    </w:p>
    <w:p w14:paraId="6CFD221F" w14:textId="78A49A8A" w:rsidR="002D7CC0" w:rsidRDefault="00BE56F4" w:rsidP="00861C9A">
      <w:r>
        <w:t>New South Wales</w:t>
      </w:r>
      <w:r w:rsidR="004C31B4">
        <w:t xml:space="preserve"> – 12%</w:t>
      </w:r>
      <w:r w:rsidR="007B2016">
        <w:t>.</w:t>
      </w:r>
    </w:p>
    <w:p w14:paraId="26D34D29" w14:textId="1B833022" w:rsidR="00A11C49" w:rsidRDefault="00874AE6" w:rsidP="00861C9A">
      <w:r>
        <w:t>The Census</w:t>
      </w:r>
      <w:r w:rsidR="00BE56F4">
        <w:t xml:space="preserve"> took respondents </w:t>
      </w:r>
      <w:r w:rsidR="00F97A95">
        <w:t>12 minutes</w:t>
      </w:r>
      <w:r w:rsidR="00BE56F4">
        <w:t xml:space="preserve"> on</w:t>
      </w:r>
      <w:r w:rsidR="00F97A95">
        <w:t xml:space="preserve"> average to complete</w:t>
      </w:r>
      <w:r w:rsidR="00BE56F4">
        <w:t xml:space="preserve"> the survey</w:t>
      </w:r>
      <w:r w:rsidR="00340B6B">
        <w:t>.</w:t>
      </w:r>
    </w:p>
    <w:p w14:paraId="5CB7D709" w14:textId="53CBB995" w:rsidR="00FD4190" w:rsidRDefault="00F97A95" w:rsidP="00861C9A">
      <w:r>
        <w:t>3,492,964</w:t>
      </w:r>
      <w:r w:rsidR="00BD19DB">
        <w:t xml:space="preserve"> individual data item responses</w:t>
      </w:r>
      <w:r w:rsidR="00BE56F4">
        <w:t xml:space="preserve"> were </w:t>
      </w:r>
      <w:r w:rsidR="00340B6B">
        <w:t>received.</w:t>
      </w:r>
    </w:p>
    <w:p w14:paraId="568D7B70" w14:textId="77777777" w:rsidR="008C7B74" w:rsidRDefault="008C7B74">
      <w:pPr>
        <w:spacing w:after="160"/>
        <w:rPr>
          <w:rStyle w:val="Heading1Char"/>
          <w:sz w:val="32"/>
          <w:szCs w:val="26"/>
        </w:rPr>
      </w:pPr>
      <w:r>
        <w:rPr>
          <w:rStyle w:val="Heading1Char"/>
          <w:b w:val="0"/>
          <w:sz w:val="32"/>
          <w:szCs w:val="26"/>
        </w:rPr>
        <w:br w:type="page"/>
      </w:r>
    </w:p>
    <w:p w14:paraId="259A3C1C" w14:textId="44539BD1" w:rsidR="009347DA" w:rsidRPr="008C7B74" w:rsidRDefault="000F040B" w:rsidP="008C7B74">
      <w:pPr>
        <w:pStyle w:val="Heading1"/>
        <w:rPr>
          <w:szCs w:val="44"/>
        </w:rPr>
      </w:pPr>
      <w:r w:rsidRPr="008C7B74">
        <w:rPr>
          <w:rStyle w:val="Heading1Char"/>
          <w:b/>
          <w:szCs w:val="44"/>
        </w:rPr>
        <w:lastRenderedPageBreak/>
        <w:t>Demographics</w:t>
      </w:r>
      <w:r w:rsidRPr="008C7B74">
        <w:rPr>
          <w:szCs w:val="44"/>
        </w:rPr>
        <w:tab/>
      </w:r>
      <w:r w:rsidRPr="008C7B74">
        <w:rPr>
          <w:szCs w:val="44"/>
        </w:rPr>
        <w:tab/>
      </w:r>
      <w:r w:rsidRPr="008C7B74">
        <w:rPr>
          <w:szCs w:val="44"/>
        </w:rPr>
        <w:tab/>
      </w:r>
    </w:p>
    <w:p w14:paraId="2889CC2D" w14:textId="418A037A" w:rsidR="00767CDB" w:rsidRDefault="00FD7152" w:rsidP="1D193D3C">
      <w:r>
        <w:t>Key demographics and employee profile of those who responded to the Census compared to sector wide payroll data.</w:t>
      </w:r>
      <w:r w:rsidR="004F2E6C">
        <w:t xml:space="preserve"> </w:t>
      </w:r>
    </w:p>
    <w:p w14:paraId="36D3A4F0" w14:textId="6E07A972" w:rsidR="000F040B" w:rsidRDefault="006809B8" w:rsidP="0037468F">
      <w:pPr>
        <w:pStyle w:val="Heading2"/>
      </w:pPr>
      <w:r>
        <w:t>Census</w:t>
      </w:r>
      <w:r w:rsidR="00C4484A">
        <w:t xml:space="preserve"> data</w:t>
      </w:r>
    </w:p>
    <w:p w14:paraId="7D98D011" w14:textId="3159408A" w:rsidR="00641E9E" w:rsidRDefault="00C4484A" w:rsidP="00C4484A">
      <w:r>
        <w:t xml:space="preserve">This section presents a range of demographic </w:t>
      </w:r>
      <w:r w:rsidR="12FC9CCE">
        <w:t>information</w:t>
      </w:r>
      <w:r w:rsidR="000C6D93">
        <w:t xml:space="preserve"> based on census data.</w:t>
      </w:r>
    </w:p>
    <w:p w14:paraId="0399F95A" w14:textId="4D778792" w:rsidR="006809B8" w:rsidRDefault="00037861" w:rsidP="0037468F">
      <w:pPr>
        <w:pStyle w:val="Heading3"/>
      </w:pPr>
      <w:bookmarkStart w:id="0" w:name="_Hlk147404897"/>
      <w:r>
        <w:t>Gender breakdown</w:t>
      </w:r>
    </w:p>
    <w:p w14:paraId="2C382A03" w14:textId="1AEA9832" w:rsidR="28F32501" w:rsidRDefault="00874AE6" w:rsidP="00861C9A">
      <w:r>
        <w:t>A</w:t>
      </w:r>
      <w:r w:rsidR="28F32501">
        <w:t xml:space="preserve"> diagram</w:t>
      </w:r>
      <w:r w:rsidR="2C206313">
        <w:t xml:space="preserve"> </w:t>
      </w:r>
      <w:r w:rsidR="45AABAC6">
        <w:t>represent</w:t>
      </w:r>
      <w:r w:rsidR="6F082561">
        <w:t>s</w:t>
      </w:r>
      <w:r w:rsidR="45AABAC6">
        <w:t xml:space="preserve"> the relative proportions of genders in the public sector, according to census data.</w:t>
      </w:r>
    </w:p>
    <w:p w14:paraId="12FA66C1" w14:textId="34DD71FF" w:rsidR="00037861" w:rsidRDefault="00E34AD2" w:rsidP="00861C9A">
      <w:r>
        <w:t xml:space="preserve">30,653 employees are female, </w:t>
      </w:r>
      <w:r w:rsidR="0016501B" w:rsidRPr="000443EE">
        <w:t>which is</w:t>
      </w:r>
      <w:r>
        <w:t xml:space="preserve"> 65.1%</w:t>
      </w:r>
      <w:r w:rsidR="005C2599">
        <w:t xml:space="preserve"> of the sector.</w:t>
      </w:r>
    </w:p>
    <w:p w14:paraId="6A05A707" w14:textId="2E6B0BD5" w:rsidR="00BD0441" w:rsidRDefault="005C2599" w:rsidP="00861C9A">
      <w:r>
        <w:t xml:space="preserve">15,423 employees are male, </w:t>
      </w:r>
      <w:r w:rsidR="0016501B" w:rsidRPr="000443EE">
        <w:t>which is</w:t>
      </w:r>
      <w:r>
        <w:t xml:space="preserve"> 32.7% of the sector.</w:t>
      </w:r>
    </w:p>
    <w:p w14:paraId="15178B1D" w14:textId="5BB1B172" w:rsidR="00BD0441" w:rsidRDefault="005C2599" w:rsidP="00861C9A">
      <w:r>
        <w:t xml:space="preserve">198 employees </w:t>
      </w:r>
      <w:r w:rsidR="00874AE6">
        <w:t>identified as</w:t>
      </w:r>
      <w:r w:rsidR="00F56B7E">
        <w:t xml:space="preserve"> another self-</w:t>
      </w:r>
      <w:r w:rsidR="00F56B7E" w:rsidRPr="000443EE">
        <w:t>identity</w:t>
      </w:r>
      <w:r w:rsidRPr="000443EE">
        <w:t xml:space="preserve">, </w:t>
      </w:r>
      <w:r w:rsidR="00B5111F" w:rsidRPr="000443EE">
        <w:t>which is</w:t>
      </w:r>
      <w:r>
        <w:t xml:space="preserve"> less than 1</w:t>
      </w:r>
      <w:r w:rsidR="00832BF3">
        <w:t>% of the sector.</w:t>
      </w:r>
    </w:p>
    <w:p w14:paraId="2E0DC9EE" w14:textId="4AF15A69" w:rsidR="00281F77" w:rsidRDefault="000F1012" w:rsidP="00861C9A">
      <w:r>
        <w:t xml:space="preserve">841 employees </w:t>
      </w:r>
      <w:r w:rsidR="00F56B7E">
        <w:t xml:space="preserve">preferred not to say their gender, </w:t>
      </w:r>
      <w:r w:rsidR="00B5111F" w:rsidRPr="000443EE">
        <w:t>which</w:t>
      </w:r>
      <w:r w:rsidR="00F56B7E" w:rsidRPr="000443EE">
        <w:t xml:space="preserve"> </w:t>
      </w:r>
      <w:r w:rsidR="00B5111F" w:rsidRPr="000443EE">
        <w:t>is</w:t>
      </w:r>
      <w:r w:rsidR="00F56B7E">
        <w:t xml:space="preserve"> 1.8% of the sector</w:t>
      </w:r>
      <w:r w:rsidR="00913DC4">
        <w:t>.</w:t>
      </w:r>
    </w:p>
    <w:p w14:paraId="52D6BBEE" w14:textId="45DD3C33" w:rsidR="004F7D1E" w:rsidRDefault="0088286E" w:rsidP="00861C9A">
      <w:pPr>
        <w:pStyle w:val="Heading3"/>
        <w:spacing w:before="120"/>
      </w:pPr>
      <w:r>
        <w:t>Metropolitan</w:t>
      </w:r>
      <w:r w:rsidR="00811E66">
        <w:t xml:space="preserve"> and </w:t>
      </w:r>
      <w:r w:rsidR="0074010A">
        <w:t>regional breakdown</w:t>
      </w:r>
    </w:p>
    <w:p w14:paraId="46C75615" w14:textId="61EBE5F7" w:rsidR="0074010A" w:rsidRDefault="00BD3013" w:rsidP="00861C9A">
      <w:r>
        <w:t xml:space="preserve">31,431 </w:t>
      </w:r>
      <w:r w:rsidR="00913DC4">
        <w:t xml:space="preserve">employees </w:t>
      </w:r>
      <w:r w:rsidR="00566CA8">
        <w:t>are</w:t>
      </w:r>
      <w:r w:rsidR="00874AE6">
        <w:t xml:space="preserve"> based in</w:t>
      </w:r>
      <w:r w:rsidR="00874AE6" w:rsidRPr="00C27AEC">
        <w:t xml:space="preserve"> </w:t>
      </w:r>
      <w:r w:rsidR="00301BEC">
        <w:t>metropolitan</w:t>
      </w:r>
      <w:r w:rsidR="00874AE6">
        <w:t xml:space="preserve"> areas</w:t>
      </w:r>
      <w:r>
        <w:t xml:space="preserve">, </w:t>
      </w:r>
      <w:r w:rsidR="00B5111F" w:rsidRPr="000443EE">
        <w:t>which is</w:t>
      </w:r>
      <w:r>
        <w:t xml:space="preserve"> 79.5% of the sector.</w:t>
      </w:r>
    </w:p>
    <w:p w14:paraId="4F445DF4" w14:textId="2D963F57" w:rsidR="00BD3013" w:rsidRDefault="00BD3013" w:rsidP="00861C9A">
      <w:r>
        <w:t xml:space="preserve">8,100 employees </w:t>
      </w:r>
      <w:r w:rsidR="00566CA8">
        <w:t>are</w:t>
      </w:r>
      <w:r w:rsidR="00874AE6">
        <w:t xml:space="preserve"> based in</w:t>
      </w:r>
      <w:r w:rsidR="00874AE6" w:rsidRPr="00C27AEC">
        <w:t xml:space="preserve"> </w:t>
      </w:r>
      <w:r w:rsidR="00874AE6">
        <w:t>regional areas</w:t>
      </w:r>
      <w:r>
        <w:t xml:space="preserve">, </w:t>
      </w:r>
      <w:r w:rsidR="00B5111F" w:rsidRPr="000443EE">
        <w:t>which is</w:t>
      </w:r>
      <w:r>
        <w:t xml:space="preserve"> 20.5% of the sector.</w:t>
      </w:r>
    </w:p>
    <w:p w14:paraId="2CF167D7" w14:textId="46881F9A" w:rsidR="00301BEC" w:rsidRDefault="00E25F33" w:rsidP="0037468F">
      <w:pPr>
        <w:pStyle w:val="Heading3"/>
      </w:pPr>
      <w:r>
        <w:t>Employment status</w:t>
      </w:r>
    </w:p>
    <w:p w14:paraId="615BB4AB" w14:textId="016D2F37" w:rsidR="5C2E138C" w:rsidRDefault="00874AE6" w:rsidP="00861C9A">
      <w:r>
        <w:t>A</w:t>
      </w:r>
      <w:r w:rsidR="00542A3F">
        <w:t xml:space="preserve"> graph s</w:t>
      </w:r>
      <w:r w:rsidR="5C2E138C">
        <w:t xml:space="preserve">hows the relative proportions of full-time, part-time, </w:t>
      </w:r>
      <w:proofErr w:type="gramStart"/>
      <w:r w:rsidR="5C2E138C">
        <w:t>casual</w:t>
      </w:r>
      <w:proofErr w:type="gramEnd"/>
      <w:r w:rsidR="5C2E138C">
        <w:t xml:space="preserve"> and other employees, according to census </w:t>
      </w:r>
      <w:r w:rsidR="55293349">
        <w:t>data.</w:t>
      </w:r>
    </w:p>
    <w:p w14:paraId="4A664081" w14:textId="54B8F877" w:rsidR="00E25F33" w:rsidRDefault="00BD3013" w:rsidP="00861C9A">
      <w:r>
        <w:t>35,470 employees are</w:t>
      </w:r>
      <w:r w:rsidR="005130B3">
        <w:t xml:space="preserve"> full-time</w:t>
      </w:r>
      <w:r w:rsidR="004D7589">
        <w:t xml:space="preserve">, </w:t>
      </w:r>
      <w:r w:rsidR="00B5111F" w:rsidRPr="000443EE">
        <w:t>which is</w:t>
      </w:r>
      <w:r w:rsidR="004D7589">
        <w:t xml:space="preserve"> 75.3% of the sector</w:t>
      </w:r>
      <w:r w:rsidR="00F915A8">
        <w:t>.</w:t>
      </w:r>
    </w:p>
    <w:p w14:paraId="55BF4AFA" w14:textId="5720E2DE" w:rsidR="00E25F33" w:rsidRDefault="004D7589" w:rsidP="00861C9A">
      <w:r>
        <w:t>9,533 employees are part-time</w:t>
      </w:r>
      <w:r w:rsidR="00F915A8">
        <w:t xml:space="preserve">, </w:t>
      </w:r>
      <w:r w:rsidR="00B5111F" w:rsidRPr="000443EE">
        <w:t>which is</w:t>
      </w:r>
      <w:r w:rsidR="00F915A8">
        <w:t xml:space="preserve"> 20.2% of the sector.</w:t>
      </w:r>
    </w:p>
    <w:p w14:paraId="208BBA36" w14:textId="23AC4AB2" w:rsidR="006A3372" w:rsidRDefault="00F915A8" w:rsidP="00861C9A">
      <w:r>
        <w:t xml:space="preserve">1,234 employees are casual, </w:t>
      </w:r>
      <w:r w:rsidR="00B5111F" w:rsidRPr="000443EE">
        <w:t>which is</w:t>
      </w:r>
      <w:r w:rsidR="00940D20">
        <w:t xml:space="preserve"> </w:t>
      </w:r>
      <w:r w:rsidR="00D56242">
        <w:t>2.6% of the sector</w:t>
      </w:r>
      <w:r w:rsidR="00940D20">
        <w:t>.</w:t>
      </w:r>
    </w:p>
    <w:p w14:paraId="1331F213" w14:textId="23BA65A8" w:rsidR="006A3372" w:rsidRDefault="00940D20" w:rsidP="00861C9A">
      <w:r>
        <w:t xml:space="preserve">510 employees answered “other” to this question, </w:t>
      </w:r>
      <w:r w:rsidR="00B5111F" w:rsidRPr="000443EE">
        <w:t>which is</w:t>
      </w:r>
      <w:r>
        <w:t xml:space="preserve"> 1.1</w:t>
      </w:r>
      <w:r w:rsidR="00E92CFD">
        <w:t>% of the sector.</w:t>
      </w:r>
    </w:p>
    <w:p w14:paraId="40E79C27" w14:textId="1D96806C" w:rsidR="00E92CFD" w:rsidRDefault="009E5EA5" w:rsidP="00861C9A">
      <w:r>
        <w:t>329 employees</w:t>
      </w:r>
      <w:r w:rsidR="005750DA">
        <w:t xml:space="preserve"> are </w:t>
      </w:r>
      <w:r w:rsidR="00811E66">
        <w:t>chief executive officer</w:t>
      </w:r>
      <w:r w:rsidR="005750DA">
        <w:t xml:space="preserve"> or </w:t>
      </w:r>
      <w:r w:rsidR="00811E66">
        <w:t>Senior Executive Service officers</w:t>
      </w:r>
      <w:r w:rsidR="00B30EDC">
        <w:t xml:space="preserve">, </w:t>
      </w:r>
      <w:r w:rsidR="00B5111F" w:rsidRPr="000443EE">
        <w:t xml:space="preserve">which is </w:t>
      </w:r>
      <w:r w:rsidR="00B30EDC">
        <w:t>less than 1% of the sector.</w:t>
      </w:r>
    </w:p>
    <w:p w14:paraId="2C5DB384" w14:textId="10058B01" w:rsidR="00B30EDC" w:rsidRDefault="001A0768" w:rsidP="00861C9A">
      <w:r>
        <w:t>39</w:t>
      </w:r>
      <w:r w:rsidR="00B30EDC">
        <w:t xml:space="preserve"> employees are </w:t>
      </w:r>
      <w:r>
        <w:t>sessional</w:t>
      </w:r>
      <w:r w:rsidR="00874AE6">
        <w:t xml:space="preserve"> employees</w:t>
      </w:r>
      <w:r w:rsidR="00B30EDC">
        <w:t xml:space="preserve">, </w:t>
      </w:r>
      <w:r w:rsidR="00B5111F" w:rsidRPr="000443EE">
        <w:t xml:space="preserve">which is </w:t>
      </w:r>
      <w:r w:rsidR="00B30EDC">
        <w:t>less than 1% of the sector.</w:t>
      </w:r>
    </w:p>
    <w:p w14:paraId="17C78065" w14:textId="40DAB373" w:rsidR="006A3372" w:rsidRDefault="00A04113" w:rsidP="0037468F">
      <w:pPr>
        <w:pStyle w:val="Heading3"/>
      </w:pPr>
      <w:r>
        <w:t xml:space="preserve">Other demographic information </w:t>
      </w:r>
    </w:p>
    <w:p w14:paraId="512661FD" w14:textId="21231F51" w:rsidR="00C44431" w:rsidRDefault="00A04113" w:rsidP="00861C9A">
      <w:r>
        <w:t xml:space="preserve">The most common age group is </w:t>
      </w:r>
      <w:proofErr w:type="gramStart"/>
      <w:r w:rsidR="00781538" w:rsidRPr="00C27AEC">
        <w:t>50 to 54 year</w:t>
      </w:r>
      <w:r>
        <w:t xml:space="preserve"> olds</w:t>
      </w:r>
      <w:proofErr w:type="gramEnd"/>
      <w:r>
        <w:t>.</w:t>
      </w:r>
    </w:p>
    <w:p w14:paraId="048267CC" w14:textId="13A6E3EA" w:rsidR="00271FA0" w:rsidRDefault="00874D0D" w:rsidP="00861C9A">
      <w:r>
        <w:t>1,670</w:t>
      </w:r>
      <w:r w:rsidR="00E959F7">
        <w:t xml:space="preserve"> employees </w:t>
      </w:r>
      <w:r w:rsidR="00B5111F" w:rsidRPr="000443EE">
        <w:t xml:space="preserve">are </w:t>
      </w:r>
      <w:r w:rsidR="00A04113">
        <w:t>youth</w:t>
      </w:r>
      <w:r w:rsidR="00B5111F" w:rsidRPr="00C27AEC">
        <w:t xml:space="preserve"> </w:t>
      </w:r>
      <w:r w:rsidR="00A04113">
        <w:t>aged</w:t>
      </w:r>
      <w:r w:rsidR="00A04113" w:rsidRPr="00C27AEC">
        <w:t xml:space="preserve"> </w:t>
      </w:r>
      <w:r w:rsidR="00B5111F" w:rsidRPr="000443EE">
        <w:t xml:space="preserve">24 years </w:t>
      </w:r>
      <w:r w:rsidR="00A04113">
        <w:t>or under</w:t>
      </w:r>
      <w:r w:rsidR="00B5111F" w:rsidRPr="000443EE">
        <w:t>, which is</w:t>
      </w:r>
      <w:r w:rsidR="00E959F7">
        <w:t xml:space="preserve"> 3.5% of the sector.</w:t>
      </w:r>
    </w:p>
    <w:p w14:paraId="45C166E3" w14:textId="58CFD9EA" w:rsidR="00C2308E" w:rsidRDefault="00A04113" w:rsidP="00861C9A">
      <w:r>
        <w:t xml:space="preserve">The most common tenure in the public sector is </w:t>
      </w:r>
      <w:r w:rsidR="00857357" w:rsidRPr="00C27AEC">
        <w:t>5 to less than 11 years</w:t>
      </w:r>
      <w:r>
        <w:t>.</w:t>
      </w:r>
    </w:p>
    <w:p w14:paraId="5E7B497B" w14:textId="05E7F596" w:rsidR="00246131" w:rsidRDefault="00A04113" w:rsidP="00861C9A">
      <w:r>
        <w:t xml:space="preserve">The most common salary range was </w:t>
      </w:r>
      <w:r w:rsidR="00554EAE" w:rsidRPr="00C27AEC">
        <w:t>$93</w:t>
      </w:r>
      <w:r w:rsidR="0092195A">
        <w:t>,000</w:t>
      </w:r>
      <w:r w:rsidR="00554EAE" w:rsidRPr="00C27AEC">
        <w:t xml:space="preserve"> </w:t>
      </w:r>
      <w:r w:rsidR="00566CA8">
        <w:t>to</w:t>
      </w:r>
      <w:r w:rsidR="00554EAE" w:rsidRPr="00C27AEC">
        <w:t xml:space="preserve"> $107</w:t>
      </w:r>
      <w:r w:rsidR="0092195A">
        <w:t>,000</w:t>
      </w:r>
      <w:r w:rsidR="000B7B47" w:rsidRPr="00C27AEC">
        <w:t xml:space="preserve">, </w:t>
      </w:r>
      <w:r w:rsidR="00B5111F" w:rsidRPr="00C27AEC">
        <w:t>which is</w:t>
      </w:r>
      <w:r w:rsidR="000B7B47" w:rsidRPr="00C27AEC">
        <w:t xml:space="preserve"> </w:t>
      </w:r>
      <w:r w:rsidR="00566CA8">
        <w:t xml:space="preserve">equivalent to </w:t>
      </w:r>
      <w:r w:rsidR="00B815E7" w:rsidRPr="00C27AEC">
        <w:t xml:space="preserve">Level 5 </w:t>
      </w:r>
      <w:r w:rsidR="00566CA8">
        <w:t xml:space="preserve">under the </w:t>
      </w:r>
      <w:r w:rsidR="00566CA8" w:rsidRPr="00566CA8">
        <w:t>Public Sector CSA Agreement</w:t>
      </w:r>
      <w:r w:rsidR="009A1A7A">
        <w:t>.</w:t>
      </w:r>
    </w:p>
    <w:bookmarkEnd w:id="0"/>
    <w:p w14:paraId="0CB1FE1C" w14:textId="00FD7152" w:rsidR="00B815E7" w:rsidRDefault="009C7ADE" w:rsidP="0037468F">
      <w:pPr>
        <w:pStyle w:val="Heading2"/>
      </w:pPr>
      <w:r>
        <w:lastRenderedPageBreak/>
        <w:t>Payroll</w:t>
      </w:r>
      <w:r w:rsidR="00C4484A">
        <w:t xml:space="preserve"> data</w:t>
      </w:r>
    </w:p>
    <w:p w14:paraId="5F2E9EE5" w14:textId="075FC407" w:rsidR="006E2923" w:rsidRPr="006E2923" w:rsidRDefault="004E3A7B" w:rsidP="004E3A7B">
      <w:r>
        <w:t>Payroll comparisons refer to the quarterly workforce data collected as part of the March 2023 Human Resource Minimum Obligatory Information Requirements</w:t>
      </w:r>
      <w:r w:rsidR="00871A84">
        <w:t>.</w:t>
      </w:r>
    </w:p>
    <w:p w14:paraId="5B44092A" w14:textId="77777777" w:rsidR="007B1C74" w:rsidRDefault="007B1C74" w:rsidP="0037468F">
      <w:pPr>
        <w:pStyle w:val="Heading3"/>
      </w:pPr>
      <w:r>
        <w:t>Gender breakdown</w:t>
      </w:r>
    </w:p>
    <w:p w14:paraId="478A651F" w14:textId="43EE90A7" w:rsidR="0B5DCF73" w:rsidRDefault="0B5DCF73" w:rsidP="00861C9A">
      <w:r>
        <w:t>A diagram represent</w:t>
      </w:r>
      <w:r w:rsidR="285E3264">
        <w:t>s</w:t>
      </w:r>
      <w:r>
        <w:t xml:space="preserve"> the relative proportions of genders in the public sector, according to </w:t>
      </w:r>
      <w:r w:rsidR="56050FF3">
        <w:t xml:space="preserve">sectorwide payroll </w:t>
      </w:r>
      <w:r>
        <w:t>data.</w:t>
      </w:r>
    </w:p>
    <w:p w14:paraId="0376C6F1" w14:textId="38440C89" w:rsidR="00F56B7E" w:rsidRDefault="00F56B7E" w:rsidP="00861C9A">
      <w:r>
        <w:t xml:space="preserve">121,941 employees are female, </w:t>
      </w:r>
      <w:r w:rsidR="00D01F7A">
        <w:t>which is</w:t>
      </w:r>
      <w:r w:rsidR="00D01F7A" w:rsidRPr="00C27AEC" w:rsidDel="00D01F7A">
        <w:t xml:space="preserve"> </w:t>
      </w:r>
      <w:r w:rsidR="00AA1B4E">
        <w:t>71</w:t>
      </w:r>
      <w:r>
        <w:t>.</w:t>
      </w:r>
      <w:r w:rsidR="00AA1B4E">
        <w:t>2</w:t>
      </w:r>
      <w:r>
        <w:t>% of the sector.</w:t>
      </w:r>
    </w:p>
    <w:p w14:paraId="7EBACC83" w14:textId="25A1C614" w:rsidR="00F56B7E" w:rsidRDefault="00AA1B4E" w:rsidP="00861C9A">
      <w:r>
        <w:t>49,</w:t>
      </w:r>
      <w:r w:rsidRPr="00C27AEC">
        <w:t>239</w:t>
      </w:r>
      <w:r w:rsidR="00D01F7A">
        <w:t xml:space="preserve"> </w:t>
      </w:r>
      <w:r w:rsidR="00F56B7E" w:rsidRPr="00C27AEC">
        <w:t>employees</w:t>
      </w:r>
      <w:r w:rsidR="00F56B7E">
        <w:t xml:space="preserve"> are male, </w:t>
      </w:r>
      <w:r w:rsidR="00D01F7A">
        <w:t>which is</w:t>
      </w:r>
      <w:r w:rsidR="00F56B7E">
        <w:t xml:space="preserve"> </w:t>
      </w:r>
      <w:r>
        <w:t>28.8</w:t>
      </w:r>
      <w:r w:rsidR="00F56B7E">
        <w:t>% of the sector.</w:t>
      </w:r>
    </w:p>
    <w:p w14:paraId="5F44A9EF" w14:textId="4A38ACBB" w:rsidR="00F56B7E" w:rsidRDefault="00AA1B4E" w:rsidP="00861C9A">
      <w:r>
        <w:t xml:space="preserve">51 </w:t>
      </w:r>
      <w:r w:rsidR="00F56B7E">
        <w:t xml:space="preserve">employees </w:t>
      </w:r>
      <w:r w:rsidR="00566CA8">
        <w:t>identified as</w:t>
      </w:r>
      <w:r w:rsidR="00566CA8" w:rsidRPr="00C27AEC">
        <w:t xml:space="preserve"> </w:t>
      </w:r>
      <w:r w:rsidR="00F56B7E">
        <w:t>another self-identity,</w:t>
      </w:r>
      <w:r w:rsidR="00084BA2">
        <w:t xml:space="preserve"> which is</w:t>
      </w:r>
      <w:r w:rsidR="00F56B7E">
        <w:t xml:space="preserve"> less than </w:t>
      </w:r>
      <w:r>
        <w:t>0.</w:t>
      </w:r>
      <w:r w:rsidR="00F56B7E">
        <w:t>1% of the sector.</w:t>
      </w:r>
    </w:p>
    <w:p w14:paraId="4223C79A" w14:textId="71D1C93D" w:rsidR="007B1C74" w:rsidRDefault="00AA1B4E" w:rsidP="00861C9A">
      <w:r>
        <w:t xml:space="preserve">Prefer not </w:t>
      </w:r>
      <w:proofErr w:type="gramStart"/>
      <w:r>
        <w:t>say</w:t>
      </w:r>
      <w:proofErr w:type="gramEnd"/>
      <w:r>
        <w:t xml:space="preserve"> is not applicable for payroll data.</w:t>
      </w:r>
    </w:p>
    <w:p w14:paraId="71AD2E71" w14:textId="4AF954B0" w:rsidR="007B1C74" w:rsidRDefault="0088286E" w:rsidP="0037468F">
      <w:pPr>
        <w:pStyle w:val="Heading3"/>
      </w:pPr>
      <w:r>
        <w:t>Metropolitan</w:t>
      </w:r>
      <w:r w:rsidR="00811E66">
        <w:t xml:space="preserve"> and </w:t>
      </w:r>
      <w:r w:rsidR="007B1C74">
        <w:t>regional breakdown</w:t>
      </w:r>
    </w:p>
    <w:p w14:paraId="38809EAE" w14:textId="7ABB368E" w:rsidR="00541D7B" w:rsidRDefault="00541D7B" w:rsidP="00861C9A">
      <w:r>
        <w:t xml:space="preserve">131,951 employees </w:t>
      </w:r>
      <w:r w:rsidR="00566CA8">
        <w:t>are based in</w:t>
      </w:r>
      <w:r w:rsidR="00566CA8" w:rsidRPr="00C27AEC">
        <w:t xml:space="preserve"> </w:t>
      </w:r>
      <w:r>
        <w:t>metropolitan</w:t>
      </w:r>
      <w:r w:rsidR="00566CA8">
        <w:t xml:space="preserve"> areas</w:t>
      </w:r>
      <w:r>
        <w:t xml:space="preserve">, </w:t>
      </w:r>
      <w:r w:rsidR="003710BE">
        <w:t>which is</w:t>
      </w:r>
      <w:r w:rsidR="003710BE" w:rsidRPr="00C27AEC">
        <w:t xml:space="preserve"> </w:t>
      </w:r>
      <w:r>
        <w:t>77.1% of the sector.</w:t>
      </w:r>
    </w:p>
    <w:p w14:paraId="6F330743" w14:textId="6C8576CC" w:rsidR="00541D7B" w:rsidRDefault="00541D7B" w:rsidP="00861C9A">
      <w:r>
        <w:t xml:space="preserve">39,197 employees are </w:t>
      </w:r>
      <w:r w:rsidR="00566CA8">
        <w:t>based in regional areas</w:t>
      </w:r>
      <w:r>
        <w:t xml:space="preserve">, </w:t>
      </w:r>
      <w:r w:rsidR="003710BE">
        <w:t>which is</w:t>
      </w:r>
      <w:r>
        <w:t xml:space="preserve"> 22.9% of the sector.</w:t>
      </w:r>
    </w:p>
    <w:p w14:paraId="5574238B" w14:textId="77777777" w:rsidR="007B1C74" w:rsidRDefault="007B1C74" w:rsidP="0037468F">
      <w:pPr>
        <w:pStyle w:val="Heading3"/>
      </w:pPr>
      <w:r>
        <w:t>Employment status</w:t>
      </w:r>
    </w:p>
    <w:p w14:paraId="53877B78" w14:textId="4A51152D" w:rsidR="00326F6B" w:rsidRDefault="00542A3F" w:rsidP="00861C9A">
      <w:r>
        <w:t xml:space="preserve">This graph </w:t>
      </w:r>
      <w:r w:rsidR="00326F6B">
        <w:t xml:space="preserve">shows the relative proportions of full-time, part-time, </w:t>
      </w:r>
      <w:proofErr w:type="gramStart"/>
      <w:r w:rsidR="00326F6B">
        <w:t>casual</w:t>
      </w:r>
      <w:proofErr w:type="gramEnd"/>
      <w:r w:rsidR="00326F6B">
        <w:t xml:space="preserve"> and other employees, according to </w:t>
      </w:r>
      <w:r w:rsidR="009A324C">
        <w:t>sectorwide payroll</w:t>
      </w:r>
      <w:r w:rsidR="00326F6B">
        <w:t xml:space="preserve"> data.</w:t>
      </w:r>
    </w:p>
    <w:p w14:paraId="6B7FB8B5" w14:textId="572B67C5" w:rsidR="009A324C" w:rsidRDefault="009A324C" w:rsidP="00861C9A">
      <w:r>
        <w:t xml:space="preserve">94,185 employees are full-time, </w:t>
      </w:r>
      <w:r w:rsidR="00D01F7A">
        <w:t>which is</w:t>
      </w:r>
      <w:r>
        <w:t xml:space="preserve"> </w:t>
      </w:r>
      <w:r w:rsidR="00084462">
        <w:t>54.9</w:t>
      </w:r>
      <w:r>
        <w:t>% of the sector.</w:t>
      </w:r>
    </w:p>
    <w:p w14:paraId="1DDDE258" w14:textId="3738CD8E" w:rsidR="009A324C" w:rsidRDefault="00084462" w:rsidP="00861C9A">
      <w:r>
        <w:t xml:space="preserve">58,504 </w:t>
      </w:r>
      <w:r w:rsidR="009A324C">
        <w:t xml:space="preserve">employees are part-time, </w:t>
      </w:r>
      <w:r w:rsidR="00D01F7A">
        <w:t>which is</w:t>
      </w:r>
      <w:r w:rsidR="009A324C">
        <w:t xml:space="preserve"> </w:t>
      </w:r>
      <w:r>
        <w:t>34</w:t>
      </w:r>
      <w:r w:rsidR="009A324C">
        <w:t>.2% of the sector.</w:t>
      </w:r>
    </w:p>
    <w:p w14:paraId="6440F919" w14:textId="19328406" w:rsidR="009A324C" w:rsidRDefault="009A324C" w:rsidP="00861C9A">
      <w:r>
        <w:t>1</w:t>
      </w:r>
      <w:r w:rsidR="00084462">
        <w:t>6</w:t>
      </w:r>
      <w:r>
        <w:t>,</w:t>
      </w:r>
      <w:r w:rsidR="00084462">
        <w:t>335</w:t>
      </w:r>
      <w:r>
        <w:t xml:space="preserve"> employees are casual, </w:t>
      </w:r>
      <w:r w:rsidR="00D01F7A">
        <w:t>which is</w:t>
      </w:r>
      <w:r>
        <w:t xml:space="preserve"> </w:t>
      </w:r>
      <w:r w:rsidR="00084462">
        <w:t>9.5</w:t>
      </w:r>
      <w:r>
        <w:t>% of the sector.</w:t>
      </w:r>
    </w:p>
    <w:p w14:paraId="6292A776" w14:textId="70BFDE96" w:rsidR="000901E7" w:rsidRDefault="00084462" w:rsidP="00861C9A">
      <w:r>
        <w:t>1</w:t>
      </w:r>
      <w:r w:rsidR="000901E7">
        <w:t>,361</w:t>
      </w:r>
      <w:r w:rsidR="009A324C">
        <w:t xml:space="preserve"> </w:t>
      </w:r>
      <w:r w:rsidR="000901E7">
        <w:t>employees are sessional</w:t>
      </w:r>
      <w:r w:rsidR="00566CA8">
        <w:t xml:space="preserve"> employees</w:t>
      </w:r>
      <w:r w:rsidR="000901E7">
        <w:t xml:space="preserve">, </w:t>
      </w:r>
      <w:r w:rsidR="009C4110">
        <w:t xml:space="preserve">which is </w:t>
      </w:r>
      <w:r w:rsidR="000901E7">
        <w:t>less than 1% of the sector.</w:t>
      </w:r>
    </w:p>
    <w:p w14:paraId="33541596" w14:textId="66E32AAF" w:rsidR="000901E7" w:rsidRDefault="000901E7" w:rsidP="00861C9A">
      <w:r>
        <w:t>502 employees answered “other” to this question,</w:t>
      </w:r>
      <w:r w:rsidRPr="000901E7">
        <w:t xml:space="preserve"> </w:t>
      </w:r>
      <w:r w:rsidR="009C4110">
        <w:t xml:space="preserve">which is </w:t>
      </w:r>
      <w:r>
        <w:t>less than 1% of the sector.</w:t>
      </w:r>
    </w:p>
    <w:p w14:paraId="57987738" w14:textId="22CD2255" w:rsidR="00466C95" w:rsidRDefault="00466C95" w:rsidP="00861C9A">
      <w:r>
        <w:t>344</w:t>
      </w:r>
      <w:r w:rsidR="009A324C">
        <w:t xml:space="preserve"> </w:t>
      </w:r>
      <w:r>
        <w:t xml:space="preserve">employees are </w:t>
      </w:r>
      <w:r w:rsidR="00811E66">
        <w:t>chief executive officers</w:t>
      </w:r>
      <w:r>
        <w:t xml:space="preserve"> or </w:t>
      </w:r>
      <w:r w:rsidR="00811E66">
        <w:t>Senior Executive Service officers</w:t>
      </w:r>
      <w:r>
        <w:t xml:space="preserve">, </w:t>
      </w:r>
      <w:r w:rsidR="009C4110">
        <w:t xml:space="preserve">which is </w:t>
      </w:r>
      <w:r>
        <w:t>less than 1% of the sector</w:t>
      </w:r>
      <w:r w:rsidR="006F5F8D">
        <w:t>.</w:t>
      </w:r>
    </w:p>
    <w:p w14:paraId="71648E9C" w14:textId="77777777" w:rsidR="00566CA8" w:rsidRPr="00C27AEC" w:rsidRDefault="00566CA8" w:rsidP="0037468F">
      <w:pPr>
        <w:pStyle w:val="Heading3"/>
      </w:pPr>
      <w:r>
        <w:t xml:space="preserve">Other demographic information </w:t>
      </w:r>
    </w:p>
    <w:p w14:paraId="39BFE138" w14:textId="79A1CC6B" w:rsidR="00566CA8" w:rsidRPr="00C27AEC" w:rsidRDefault="00566CA8" w:rsidP="00861C9A">
      <w:r>
        <w:t xml:space="preserve">The most common age group is </w:t>
      </w:r>
      <w:proofErr w:type="gramStart"/>
      <w:r>
        <w:t>35 to 39</w:t>
      </w:r>
      <w:r w:rsidRPr="00C27AEC">
        <w:t xml:space="preserve"> year</w:t>
      </w:r>
      <w:r>
        <w:t xml:space="preserve"> olds</w:t>
      </w:r>
      <w:proofErr w:type="gramEnd"/>
      <w:r>
        <w:t>.</w:t>
      </w:r>
    </w:p>
    <w:p w14:paraId="11300693" w14:textId="24590DAE" w:rsidR="00566CA8" w:rsidRPr="00C27AEC" w:rsidRDefault="00566CA8" w:rsidP="00861C9A">
      <w:r w:rsidRPr="00C27AEC">
        <w:t>9,451 employees are</w:t>
      </w:r>
      <w:r>
        <w:t xml:space="preserve"> youth</w:t>
      </w:r>
      <w:r w:rsidRPr="00C27AEC">
        <w:t xml:space="preserve"> </w:t>
      </w:r>
      <w:r>
        <w:t>aged</w:t>
      </w:r>
      <w:r w:rsidRPr="00C27AEC">
        <w:t xml:space="preserve"> 24 years </w:t>
      </w:r>
      <w:r>
        <w:t>or under</w:t>
      </w:r>
      <w:r w:rsidRPr="00C27AEC">
        <w:t xml:space="preserve">, which </w:t>
      </w:r>
      <w:r w:rsidRPr="000443EE">
        <w:t>is</w:t>
      </w:r>
      <w:r w:rsidRPr="00C27AEC">
        <w:t xml:space="preserve"> </w:t>
      </w:r>
      <w:r>
        <w:t>5</w:t>
      </w:r>
      <w:r w:rsidRPr="00C27AEC">
        <w:t>.5% of the sector.</w:t>
      </w:r>
    </w:p>
    <w:p w14:paraId="7A78F816" w14:textId="77777777" w:rsidR="00566CA8" w:rsidRPr="00C27AEC" w:rsidRDefault="00566CA8" w:rsidP="00861C9A">
      <w:r>
        <w:t xml:space="preserve">The most common tenure in the public sector is </w:t>
      </w:r>
      <w:r w:rsidRPr="00C27AEC">
        <w:t>5 to less than 11 years</w:t>
      </w:r>
      <w:r>
        <w:t>.</w:t>
      </w:r>
    </w:p>
    <w:p w14:paraId="1EC15245" w14:textId="0DD25729" w:rsidR="00566CA8" w:rsidRPr="00C27AEC" w:rsidRDefault="00566CA8" w:rsidP="00861C9A">
      <w:r>
        <w:t xml:space="preserve">The most common salary range was </w:t>
      </w:r>
      <w:r w:rsidRPr="00C27AEC">
        <w:t>$93</w:t>
      </w:r>
      <w:r>
        <w:t>,000</w:t>
      </w:r>
      <w:r w:rsidRPr="00C27AEC">
        <w:t xml:space="preserve"> </w:t>
      </w:r>
      <w:r>
        <w:t>to</w:t>
      </w:r>
      <w:r w:rsidRPr="00C27AEC">
        <w:t xml:space="preserve"> $107</w:t>
      </w:r>
      <w:r>
        <w:t>,000</w:t>
      </w:r>
      <w:r w:rsidRPr="00C27AEC">
        <w:t xml:space="preserve">, which is </w:t>
      </w:r>
      <w:r>
        <w:t xml:space="preserve">equivalent to </w:t>
      </w:r>
      <w:r w:rsidRPr="00C27AEC">
        <w:t xml:space="preserve">Level 5 </w:t>
      </w:r>
      <w:r>
        <w:t xml:space="preserve">under the </w:t>
      </w:r>
      <w:r w:rsidRPr="00566CA8">
        <w:t>Public Sector CSA Agreement</w:t>
      </w:r>
      <w:r>
        <w:t>.</w:t>
      </w:r>
    </w:p>
    <w:p w14:paraId="7165460F" w14:textId="3997DE82" w:rsidR="0089175B" w:rsidRPr="009966E6" w:rsidRDefault="00203EC5" w:rsidP="009966E6">
      <w:pPr>
        <w:pStyle w:val="Heading2"/>
      </w:pPr>
      <w:r w:rsidRPr="009966E6">
        <w:rPr>
          <w:rStyle w:val="Heading1Char"/>
          <w:b/>
          <w:sz w:val="32"/>
          <w:szCs w:val="26"/>
        </w:rPr>
        <w:t>Metropolitan</w:t>
      </w:r>
      <w:r w:rsidR="0089175B" w:rsidRPr="009966E6">
        <w:tab/>
      </w:r>
      <w:r w:rsidR="0089175B" w:rsidRPr="009966E6">
        <w:tab/>
      </w:r>
      <w:r w:rsidR="0089175B" w:rsidRPr="009966E6">
        <w:tab/>
      </w:r>
    </w:p>
    <w:p w14:paraId="553D9EAA" w14:textId="77777777" w:rsidR="0089175B" w:rsidRPr="000443EE" w:rsidRDefault="0089175B" w:rsidP="0089175B">
      <w:r w:rsidRPr="000443EE">
        <w:t>Key demographics and employee profile of those who responded to the Census compared to sector wide payroll data.</w:t>
      </w:r>
    </w:p>
    <w:p w14:paraId="296C496B" w14:textId="77777777" w:rsidR="00203EC5" w:rsidRPr="000443EE" w:rsidRDefault="00203EC5" w:rsidP="009966E6">
      <w:pPr>
        <w:pStyle w:val="Heading3"/>
      </w:pPr>
      <w:r w:rsidRPr="000443EE">
        <w:t>Gender breakdown</w:t>
      </w:r>
    </w:p>
    <w:p w14:paraId="2B873507" w14:textId="1C4DC28A" w:rsidR="00203EC5" w:rsidRPr="000443EE" w:rsidRDefault="00E30C31" w:rsidP="00861C9A">
      <w:r w:rsidRPr="000443EE">
        <w:t>20,700</w:t>
      </w:r>
      <w:r w:rsidR="00203EC5" w:rsidRPr="000443EE">
        <w:t xml:space="preserve"> employees are female, which is 65.</w:t>
      </w:r>
      <w:r w:rsidRPr="000443EE">
        <w:t>9</w:t>
      </w:r>
      <w:r w:rsidR="00203EC5" w:rsidRPr="000443EE">
        <w:t xml:space="preserve">% </w:t>
      </w:r>
      <w:r w:rsidR="00F10C09">
        <w:t xml:space="preserve">of </w:t>
      </w:r>
      <w:r w:rsidR="0088286E">
        <w:t>metropolitan</w:t>
      </w:r>
      <w:r w:rsidR="00F10C09">
        <w:t xml:space="preserve"> respondents</w:t>
      </w:r>
      <w:r w:rsidR="00203EC5" w:rsidRPr="000443EE">
        <w:t>.</w:t>
      </w:r>
    </w:p>
    <w:p w14:paraId="7D0A062F" w14:textId="4E52CEE8" w:rsidR="00203EC5" w:rsidRPr="000443EE" w:rsidRDefault="009343E3" w:rsidP="00861C9A">
      <w:r w:rsidRPr="000443EE">
        <w:lastRenderedPageBreak/>
        <w:t>10,308</w:t>
      </w:r>
      <w:r w:rsidR="00203EC5" w:rsidRPr="000443EE">
        <w:t xml:space="preserve"> employees are male, which is 32.</w:t>
      </w:r>
      <w:r w:rsidRPr="000443EE">
        <w:t>8</w:t>
      </w:r>
      <w:r w:rsidR="00203EC5" w:rsidRPr="000443EE">
        <w:t xml:space="preserve">% of </w:t>
      </w:r>
      <w:r w:rsidR="0088286E">
        <w:t>metropolitan</w:t>
      </w:r>
      <w:r w:rsidR="00F10C09">
        <w:t xml:space="preserve"> respondents</w:t>
      </w:r>
      <w:r w:rsidR="00203EC5" w:rsidRPr="000443EE">
        <w:t>.</w:t>
      </w:r>
    </w:p>
    <w:p w14:paraId="049C4592" w14:textId="607594B9" w:rsidR="00203EC5" w:rsidRPr="000443EE" w:rsidRDefault="00203EC5" w:rsidP="00861C9A">
      <w:r w:rsidRPr="000443EE">
        <w:t>1</w:t>
      </w:r>
      <w:r w:rsidR="009343E3" w:rsidRPr="000443EE">
        <w:t>22</w:t>
      </w:r>
      <w:r w:rsidRPr="000443EE">
        <w:t xml:space="preserve"> employees </w:t>
      </w:r>
      <w:r w:rsidRPr="00C27AEC">
        <w:t>identi</w:t>
      </w:r>
      <w:r w:rsidR="009343E3" w:rsidRPr="00C27AEC">
        <w:t>f</w:t>
      </w:r>
      <w:r w:rsidR="000F1447">
        <w:t>ied as another self-identity,</w:t>
      </w:r>
      <w:r w:rsidRPr="000443EE">
        <w:t xml:space="preserve"> which is less than 1% of </w:t>
      </w:r>
      <w:r w:rsidR="0088286E">
        <w:t>metropolitan</w:t>
      </w:r>
      <w:r w:rsidR="00F10C09">
        <w:t xml:space="preserve"> respondents</w:t>
      </w:r>
      <w:r w:rsidRPr="000443EE">
        <w:t>.</w:t>
      </w:r>
    </w:p>
    <w:p w14:paraId="7A259554" w14:textId="79FBC1EF" w:rsidR="00203EC5" w:rsidRPr="000443EE" w:rsidRDefault="009343E3" w:rsidP="00861C9A">
      <w:r w:rsidRPr="000443EE">
        <w:t>301</w:t>
      </w:r>
      <w:r w:rsidR="00203EC5" w:rsidRPr="000443EE">
        <w:t xml:space="preserve"> employees preferred not to say their gender, which is 1% of </w:t>
      </w:r>
      <w:r w:rsidR="0088286E">
        <w:t>metropolitan</w:t>
      </w:r>
      <w:r w:rsidR="00F10C09">
        <w:t xml:space="preserve"> respondents</w:t>
      </w:r>
      <w:r w:rsidR="00203EC5" w:rsidRPr="000443EE">
        <w:t>.</w:t>
      </w:r>
    </w:p>
    <w:p w14:paraId="1151DF63" w14:textId="77777777" w:rsidR="00203EC5" w:rsidRPr="000443EE" w:rsidRDefault="00203EC5" w:rsidP="009966E6">
      <w:pPr>
        <w:pStyle w:val="Heading3"/>
      </w:pPr>
      <w:r w:rsidRPr="000443EE">
        <w:t>Employment status</w:t>
      </w:r>
    </w:p>
    <w:p w14:paraId="0CF3858D" w14:textId="77777777" w:rsidR="00203EC5" w:rsidRPr="000443EE" w:rsidRDefault="00203EC5" w:rsidP="00861C9A">
      <w:r w:rsidRPr="000443EE">
        <w:t xml:space="preserve">This graph shows the relative proportions of full-time, part-time, </w:t>
      </w:r>
      <w:proofErr w:type="gramStart"/>
      <w:r w:rsidRPr="000443EE">
        <w:t>casual</w:t>
      </w:r>
      <w:proofErr w:type="gramEnd"/>
      <w:r w:rsidRPr="000443EE">
        <w:t xml:space="preserve"> and other employees, according to census data.</w:t>
      </w:r>
    </w:p>
    <w:p w14:paraId="7557289E" w14:textId="5F44C549" w:rsidR="00203EC5" w:rsidRPr="000443EE" w:rsidRDefault="009343E3" w:rsidP="00861C9A">
      <w:r w:rsidRPr="000443EE">
        <w:t>2</w:t>
      </w:r>
      <w:r w:rsidR="00203EC5" w:rsidRPr="000443EE">
        <w:t>5,</w:t>
      </w:r>
      <w:r w:rsidRPr="000443EE">
        <w:t>036</w:t>
      </w:r>
      <w:r w:rsidR="00203EC5" w:rsidRPr="000443EE">
        <w:t xml:space="preserve"> employees are full-time, which is 7</w:t>
      </w:r>
      <w:r w:rsidRPr="000443EE">
        <w:t>9</w:t>
      </w:r>
      <w:r w:rsidR="00203EC5" w:rsidRPr="000443EE">
        <w:t>.</w:t>
      </w:r>
      <w:r w:rsidRPr="000443EE">
        <w:t>7</w:t>
      </w:r>
      <w:r w:rsidR="00203EC5" w:rsidRPr="000443EE">
        <w:t xml:space="preserve">% of </w:t>
      </w:r>
      <w:r w:rsidR="0088286E">
        <w:t>metropolitan</w:t>
      </w:r>
      <w:r w:rsidR="00F10C09">
        <w:t xml:space="preserve"> respondents</w:t>
      </w:r>
      <w:r w:rsidR="00203EC5" w:rsidRPr="000443EE">
        <w:t>.</w:t>
      </w:r>
    </w:p>
    <w:p w14:paraId="2BBE30A8" w14:textId="0C3E1B27" w:rsidR="00203EC5" w:rsidRPr="000443EE" w:rsidRDefault="009343E3" w:rsidP="00861C9A">
      <w:r w:rsidRPr="000443EE">
        <w:t>5</w:t>
      </w:r>
      <w:r w:rsidR="00203EC5" w:rsidRPr="000443EE">
        <w:t>,</w:t>
      </w:r>
      <w:r w:rsidRPr="000443EE">
        <w:t xml:space="preserve">082 </w:t>
      </w:r>
      <w:r w:rsidR="00203EC5" w:rsidRPr="000443EE">
        <w:t xml:space="preserve">employees are part-time, which is </w:t>
      </w:r>
      <w:r w:rsidRPr="000443EE">
        <w:t>16</w:t>
      </w:r>
      <w:r w:rsidR="00203EC5" w:rsidRPr="000443EE">
        <w:t xml:space="preserve">.2% of </w:t>
      </w:r>
      <w:r w:rsidR="0088286E">
        <w:t>metropolitan</w:t>
      </w:r>
      <w:r w:rsidR="00F10C09">
        <w:t xml:space="preserve"> respondents</w:t>
      </w:r>
      <w:r w:rsidR="00203EC5" w:rsidRPr="000443EE">
        <w:t>.</w:t>
      </w:r>
    </w:p>
    <w:p w14:paraId="3A5D6F3A" w14:textId="4D307DDF" w:rsidR="00203EC5" w:rsidRPr="000443EE" w:rsidRDefault="009343E3" w:rsidP="00861C9A">
      <w:r w:rsidRPr="000443EE">
        <w:t>690</w:t>
      </w:r>
      <w:r w:rsidR="00203EC5" w:rsidRPr="000443EE">
        <w:t xml:space="preserve"> employees are casual, which is 2.</w:t>
      </w:r>
      <w:r w:rsidRPr="000443EE">
        <w:t>2</w:t>
      </w:r>
      <w:r w:rsidR="00203EC5" w:rsidRPr="000443EE">
        <w:t xml:space="preserve">% of </w:t>
      </w:r>
      <w:r w:rsidR="0088286E">
        <w:t>metropolitan</w:t>
      </w:r>
      <w:r w:rsidR="00F10C09">
        <w:t xml:space="preserve"> respondents</w:t>
      </w:r>
      <w:r w:rsidR="00203EC5" w:rsidRPr="000443EE">
        <w:t>.</w:t>
      </w:r>
    </w:p>
    <w:p w14:paraId="2D80E7E0" w14:textId="049A486C" w:rsidR="00203EC5" w:rsidRPr="000443EE" w:rsidRDefault="009343E3" w:rsidP="00861C9A">
      <w:r w:rsidRPr="000443EE">
        <w:t>303</w:t>
      </w:r>
      <w:r w:rsidR="00203EC5" w:rsidRPr="000443EE">
        <w:t xml:space="preserve"> employees answered “other” to this question, which is 1% of </w:t>
      </w:r>
      <w:r w:rsidR="0088286E">
        <w:t>metropolitan</w:t>
      </w:r>
      <w:r w:rsidR="00F10C09">
        <w:t xml:space="preserve"> respondents</w:t>
      </w:r>
      <w:r w:rsidR="00203EC5" w:rsidRPr="000443EE">
        <w:t>.</w:t>
      </w:r>
    </w:p>
    <w:p w14:paraId="454C541E" w14:textId="470BFDBD" w:rsidR="00203EC5" w:rsidRPr="000443EE" w:rsidRDefault="009343E3" w:rsidP="00861C9A">
      <w:r w:rsidRPr="000443EE">
        <w:t>297</w:t>
      </w:r>
      <w:r w:rsidR="00203EC5" w:rsidRPr="000443EE">
        <w:t xml:space="preserve"> employees are </w:t>
      </w:r>
      <w:r w:rsidR="00811E66">
        <w:t>chief executive officers or Senior Executive Service officers</w:t>
      </w:r>
      <w:r w:rsidR="00203EC5" w:rsidRPr="000443EE">
        <w:t xml:space="preserve">, which is less than 1% of </w:t>
      </w:r>
      <w:r w:rsidR="0088286E">
        <w:t>metropolitan</w:t>
      </w:r>
      <w:r w:rsidR="00F10C09">
        <w:t xml:space="preserve"> respondents</w:t>
      </w:r>
      <w:r w:rsidR="00203EC5" w:rsidRPr="000443EE">
        <w:t>.</w:t>
      </w:r>
    </w:p>
    <w:p w14:paraId="1C43D147" w14:textId="71C52E2B" w:rsidR="00203EC5" w:rsidRPr="000443EE" w:rsidRDefault="009343E3" w:rsidP="00861C9A">
      <w:r w:rsidRPr="000443EE">
        <w:t>23</w:t>
      </w:r>
      <w:r w:rsidR="00203EC5" w:rsidRPr="000443EE">
        <w:t xml:space="preserve"> employees are sessional</w:t>
      </w:r>
      <w:r w:rsidR="000F1447">
        <w:t xml:space="preserve"> employees</w:t>
      </w:r>
      <w:r w:rsidR="00203EC5" w:rsidRPr="000443EE">
        <w:t xml:space="preserve">, which is less than 1% of </w:t>
      </w:r>
      <w:r w:rsidR="0088286E">
        <w:t>metropolitan</w:t>
      </w:r>
      <w:r w:rsidR="00F10C09">
        <w:t xml:space="preserve"> respondents</w:t>
      </w:r>
      <w:r w:rsidR="00203EC5" w:rsidRPr="000443EE">
        <w:t>.</w:t>
      </w:r>
    </w:p>
    <w:p w14:paraId="4B64D855" w14:textId="77777777" w:rsidR="000F1447" w:rsidRPr="00C27AEC" w:rsidRDefault="000F1447" w:rsidP="009966E6">
      <w:pPr>
        <w:pStyle w:val="Heading3"/>
      </w:pPr>
      <w:r>
        <w:t xml:space="preserve">Other demographic information </w:t>
      </w:r>
    </w:p>
    <w:p w14:paraId="76CC1F80" w14:textId="77777777" w:rsidR="000F1447" w:rsidRPr="00C27AEC" w:rsidRDefault="000F1447" w:rsidP="00861C9A">
      <w:r>
        <w:t xml:space="preserve">The most common age group is </w:t>
      </w:r>
      <w:proofErr w:type="gramStart"/>
      <w:r w:rsidRPr="00C27AEC">
        <w:t>50 to 54 year</w:t>
      </w:r>
      <w:r>
        <w:t xml:space="preserve"> olds</w:t>
      </w:r>
      <w:proofErr w:type="gramEnd"/>
      <w:r>
        <w:t>.</w:t>
      </w:r>
    </w:p>
    <w:p w14:paraId="0FE15D8D" w14:textId="09966056" w:rsidR="000F1447" w:rsidRPr="00C27AEC" w:rsidRDefault="000F1447" w:rsidP="00861C9A">
      <w:r>
        <w:t>1,154 employees are youth aged 24 years or under, which is 3.</w:t>
      </w:r>
      <w:r w:rsidR="004939FA">
        <w:t>6</w:t>
      </w:r>
      <w:r>
        <w:t xml:space="preserve">% of </w:t>
      </w:r>
      <w:r w:rsidR="0088286E">
        <w:t>metropolitan</w:t>
      </w:r>
      <w:r>
        <w:t xml:space="preserve"> respondents.</w:t>
      </w:r>
    </w:p>
    <w:p w14:paraId="53CE9B00" w14:textId="6B7864B6" w:rsidR="000F1447" w:rsidRPr="00C27AEC" w:rsidRDefault="000F1447" w:rsidP="00861C9A">
      <w:r>
        <w:t xml:space="preserve">The most common tenure </w:t>
      </w:r>
      <w:r w:rsidR="001D5DF9" w:rsidRPr="00C27AEC">
        <w:t xml:space="preserve">of </w:t>
      </w:r>
      <w:r w:rsidR="0088286E">
        <w:t>metropolitan</w:t>
      </w:r>
      <w:r w:rsidR="001D5DF9" w:rsidRPr="00C27AEC">
        <w:t xml:space="preserve"> respondents</w:t>
      </w:r>
      <w:r w:rsidR="001D5DF9">
        <w:t xml:space="preserve"> </w:t>
      </w:r>
      <w:r>
        <w:t xml:space="preserve">is </w:t>
      </w:r>
      <w:r w:rsidRPr="00C27AEC">
        <w:t>5 to less than 11 years</w:t>
      </w:r>
      <w:r>
        <w:t>.</w:t>
      </w:r>
    </w:p>
    <w:p w14:paraId="36D4EFBB" w14:textId="77777777" w:rsidR="000F1447" w:rsidRPr="00E67942" w:rsidRDefault="000F1447" w:rsidP="00861C9A">
      <w:pPr>
        <w:pStyle w:val="Heading4"/>
        <w:spacing w:before="0"/>
        <w:rPr>
          <w:rFonts w:asciiTheme="minorHAnsi" w:eastAsiaTheme="minorHAnsi" w:hAnsiTheme="minorHAnsi" w:cstheme="minorBidi"/>
          <w:iCs w:val="0"/>
        </w:rPr>
      </w:pPr>
      <w:r w:rsidRPr="00E67942">
        <w:rPr>
          <w:rFonts w:asciiTheme="minorHAnsi" w:eastAsiaTheme="minorHAnsi" w:hAnsiTheme="minorHAnsi" w:cstheme="minorBidi"/>
          <w:iCs w:val="0"/>
        </w:rPr>
        <w:t>The most common salary range was $93,000 to $107,000, which is equivalent to Level 5 under the Public Sector CSA Agreement.</w:t>
      </w:r>
    </w:p>
    <w:p w14:paraId="0837EF41" w14:textId="5167F9BF" w:rsidR="009343E3" w:rsidRPr="000443EE" w:rsidRDefault="009343E3" w:rsidP="00861C9A">
      <w:r w:rsidRPr="000443EE">
        <w:t xml:space="preserve">2,012 employees, which is 8.3% of full-time </w:t>
      </w:r>
      <w:r w:rsidR="0088286E">
        <w:t>metropolitan</w:t>
      </w:r>
      <w:r w:rsidR="00795F6E">
        <w:t xml:space="preserve"> </w:t>
      </w:r>
      <w:r w:rsidRPr="000443EE">
        <w:t>employees, want to reduce their hours.</w:t>
      </w:r>
    </w:p>
    <w:p w14:paraId="03BDC971" w14:textId="16B08BF1" w:rsidR="00783DBC" w:rsidRPr="000443EE" w:rsidRDefault="00783DBC" w:rsidP="00861C9A">
      <w:r w:rsidRPr="000443EE">
        <w:t xml:space="preserve">496 employees, which is 7.6% of full-time </w:t>
      </w:r>
      <w:r w:rsidR="0088286E">
        <w:t>metropolitan</w:t>
      </w:r>
      <w:r w:rsidR="00795F6E">
        <w:t xml:space="preserve"> </w:t>
      </w:r>
      <w:r w:rsidRPr="000443EE">
        <w:t>employees, want to increase their hours.</w:t>
      </w:r>
    </w:p>
    <w:p w14:paraId="1B7C85B0" w14:textId="6DE7BE77" w:rsidR="00783DBC" w:rsidRPr="000443EE" w:rsidRDefault="00783DBC" w:rsidP="009966E6">
      <w:pPr>
        <w:pStyle w:val="Heading3"/>
      </w:pPr>
      <w:bookmarkStart w:id="1" w:name="_Hlk147408747"/>
      <w:r w:rsidRPr="000443EE">
        <w:t xml:space="preserve">Top 3 reasons why employees work </w:t>
      </w:r>
      <w:proofErr w:type="gramStart"/>
      <w:r w:rsidR="0048170E" w:rsidRPr="000443EE">
        <w:t>full-time</w:t>
      </w:r>
      <w:proofErr w:type="gramEnd"/>
    </w:p>
    <w:bookmarkEnd w:id="1"/>
    <w:p w14:paraId="09854C82" w14:textId="33DDEB9C" w:rsidR="0048170E" w:rsidRPr="000443EE" w:rsidRDefault="0048170E" w:rsidP="00E67942">
      <w:pPr>
        <w:pStyle w:val="ListParagraph"/>
        <w:numPr>
          <w:ilvl w:val="0"/>
          <w:numId w:val="3"/>
        </w:numPr>
      </w:pPr>
      <w:r w:rsidRPr="000443EE">
        <w:t>Financial</w:t>
      </w:r>
    </w:p>
    <w:p w14:paraId="77E16A11" w14:textId="42C008A3" w:rsidR="0048170E" w:rsidRPr="000443EE" w:rsidRDefault="0048170E" w:rsidP="00E67942">
      <w:pPr>
        <w:pStyle w:val="ListParagraph"/>
        <w:numPr>
          <w:ilvl w:val="0"/>
          <w:numId w:val="3"/>
        </w:numPr>
      </w:pPr>
      <w:r w:rsidRPr="000443EE">
        <w:t xml:space="preserve">I want to work </w:t>
      </w:r>
      <w:proofErr w:type="gramStart"/>
      <w:r w:rsidRPr="000443EE">
        <w:t>full-time</w:t>
      </w:r>
      <w:proofErr w:type="gramEnd"/>
    </w:p>
    <w:p w14:paraId="4DDEE843" w14:textId="70EC2838" w:rsidR="0048170E" w:rsidRPr="000443EE" w:rsidRDefault="0048170E" w:rsidP="00E67942">
      <w:pPr>
        <w:pStyle w:val="ListParagraph"/>
        <w:numPr>
          <w:ilvl w:val="0"/>
          <w:numId w:val="3"/>
        </w:numPr>
      </w:pPr>
      <w:r w:rsidRPr="000443EE">
        <w:t>Lifestyle</w:t>
      </w:r>
      <w:r w:rsidR="00811E66">
        <w:t>.</w:t>
      </w:r>
    </w:p>
    <w:p w14:paraId="388E9A41" w14:textId="04062530" w:rsidR="0048170E" w:rsidRPr="000443EE" w:rsidRDefault="0048170E" w:rsidP="009966E6">
      <w:pPr>
        <w:pStyle w:val="Heading3"/>
      </w:pPr>
      <w:r w:rsidRPr="000443EE">
        <w:t xml:space="preserve">Top 3 reasons why employees work </w:t>
      </w:r>
      <w:proofErr w:type="gramStart"/>
      <w:r w:rsidRPr="000443EE">
        <w:t>part-time</w:t>
      </w:r>
      <w:proofErr w:type="gramEnd"/>
    </w:p>
    <w:p w14:paraId="685B4689" w14:textId="744C1B74" w:rsidR="0048170E" w:rsidRPr="000443EE" w:rsidRDefault="0048170E" w:rsidP="00E67942">
      <w:pPr>
        <w:pStyle w:val="ListParagraph"/>
        <w:numPr>
          <w:ilvl w:val="0"/>
          <w:numId w:val="4"/>
        </w:numPr>
      </w:pPr>
      <w:r w:rsidRPr="000443EE">
        <w:t>Family</w:t>
      </w:r>
      <w:r w:rsidR="00811E66">
        <w:t xml:space="preserve"> and </w:t>
      </w:r>
      <w:r w:rsidRPr="000443EE">
        <w:t>caring responsibilities</w:t>
      </w:r>
    </w:p>
    <w:p w14:paraId="551D3A6F" w14:textId="1FEE20CE" w:rsidR="0048170E" w:rsidRPr="000443EE" w:rsidRDefault="0048170E" w:rsidP="00E67942">
      <w:pPr>
        <w:pStyle w:val="ListParagraph"/>
        <w:numPr>
          <w:ilvl w:val="0"/>
          <w:numId w:val="4"/>
        </w:numPr>
      </w:pPr>
      <w:r w:rsidRPr="000443EE">
        <w:t xml:space="preserve">I want to work </w:t>
      </w:r>
      <w:proofErr w:type="gramStart"/>
      <w:r w:rsidRPr="000443EE">
        <w:t>part-time</w:t>
      </w:r>
      <w:proofErr w:type="gramEnd"/>
    </w:p>
    <w:p w14:paraId="4B38D9DB" w14:textId="2ECFD984" w:rsidR="0048170E" w:rsidRPr="000443EE" w:rsidRDefault="0048170E" w:rsidP="00E67942">
      <w:pPr>
        <w:pStyle w:val="ListParagraph"/>
        <w:numPr>
          <w:ilvl w:val="0"/>
          <w:numId w:val="4"/>
        </w:numPr>
      </w:pPr>
      <w:r w:rsidRPr="000443EE">
        <w:t>Work</w:t>
      </w:r>
      <w:r w:rsidR="00811E66">
        <w:t>-</w:t>
      </w:r>
      <w:r w:rsidRPr="000443EE">
        <w:t>life balance</w:t>
      </w:r>
      <w:r w:rsidR="00811E66">
        <w:t>.</w:t>
      </w:r>
    </w:p>
    <w:p w14:paraId="1CFFA189" w14:textId="5DCCFAE2" w:rsidR="0048170E" w:rsidRPr="000443EE" w:rsidRDefault="004C73F9" w:rsidP="009966E6">
      <w:pPr>
        <w:pStyle w:val="Heading3"/>
      </w:pPr>
      <w:r w:rsidRPr="000443EE">
        <w:t>Where our employees live and work</w:t>
      </w:r>
    </w:p>
    <w:p w14:paraId="2A435C25" w14:textId="60FD10B9" w:rsidR="004C73F9" w:rsidRPr="000443EE" w:rsidRDefault="004C73F9" w:rsidP="00861C9A">
      <w:r w:rsidRPr="000443EE">
        <w:t xml:space="preserve">A map showing </w:t>
      </w:r>
      <w:r w:rsidR="00957D52">
        <w:t xml:space="preserve">the postcodes </w:t>
      </w:r>
      <w:r w:rsidR="00811E66">
        <w:t xml:space="preserve">of </w:t>
      </w:r>
      <w:r w:rsidRPr="000443EE">
        <w:t>census respondents</w:t>
      </w:r>
      <w:r w:rsidR="00957D52">
        <w:t>’ homes and workplaces</w:t>
      </w:r>
      <w:r w:rsidRPr="000443EE">
        <w:t xml:space="preserve">. Blue dots show where respondents work, with the larger and darker dots showing greater numbers of people. Likewise, purple dots </w:t>
      </w:r>
      <w:r w:rsidR="000443EE" w:rsidRPr="000443EE">
        <w:t>are larger and darker for postcodes where more people live.</w:t>
      </w:r>
    </w:p>
    <w:p w14:paraId="31174AEA" w14:textId="69E337BF" w:rsidR="000443EE" w:rsidRDefault="000443EE" w:rsidP="00861C9A">
      <w:r w:rsidRPr="000443EE">
        <w:lastRenderedPageBreak/>
        <w:t>The largest blue dot i</w:t>
      </w:r>
      <w:r w:rsidR="00811E66">
        <w:t>s</w:t>
      </w:r>
      <w:r w:rsidRPr="000443EE">
        <w:t xml:space="preserve"> </w:t>
      </w:r>
      <w:proofErr w:type="spellStart"/>
      <w:r w:rsidRPr="000443EE">
        <w:t>centred</w:t>
      </w:r>
      <w:proofErr w:type="spellEnd"/>
      <w:r w:rsidRPr="000443EE">
        <w:t xml:space="preserve"> on Perth CBD</w:t>
      </w:r>
      <w:r>
        <w:t xml:space="preserve">, with numerous smaller blue dots in Fremantle, Osborne </w:t>
      </w:r>
      <w:proofErr w:type="gramStart"/>
      <w:r>
        <w:t>Park</w:t>
      </w:r>
      <w:proofErr w:type="gramEnd"/>
      <w:r>
        <w:t xml:space="preserve"> and Joondalup, representing the locations of major state government department offices. The purple dots are much more numerous and similarly sized.</w:t>
      </w:r>
    </w:p>
    <w:p w14:paraId="2AA2B6F4" w14:textId="3957997E" w:rsidR="00957D52" w:rsidRDefault="00957D52" w:rsidP="009966E6">
      <w:pPr>
        <w:pStyle w:val="Heading4"/>
      </w:pPr>
      <w:r>
        <w:t>Top 3 methods of commuting to work</w:t>
      </w:r>
    </w:p>
    <w:p w14:paraId="5B6ECEDA" w14:textId="6CC0EAC5" w:rsidR="00957D52" w:rsidRDefault="00957D52" w:rsidP="00E67942">
      <w:pPr>
        <w:pStyle w:val="ListParagraph"/>
        <w:numPr>
          <w:ilvl w:val="0"/>
          <w:numId w:val="5"/>
        </w:numPr>
      </w:pPr>
      <w:r>
        <w:t>Car</w:t>
      </w:r>
    </w:p>
    <w:p w14:paraId="10882465" w14:textId="5126983C" w:rsidR="00957D52" w:rsidRDefault="00957D52" w:rsidP="00E67942">
      <w:pPr>
        <w:pStyle w:val="ListParagraph"/>
        <w:numPr>
          <w:ilvl w:val="0"/>
          <w:numId w:val="5"/>
        </w:numPr>
      </w:pPr>
      <w:r>
        <w:t>Train</w:t>
      </w:r>
    </w:p>
    <w:p w14:paraId="383BB8A8" w14:textId="4CDE7D97" w:rsidR="00957D52" w:rsidRPr="00957D52" w:rsidRDefault="00957D52" w:rsidP="00E67942">
      <w:pPr>
        <w:pStyle w:val="ListParagraph"/>
        <w:numPr>
          <w:ilvl w:val="0"/>
          <w:numId w:val="5"/>
        </w:numPr>
      </w:pPr>
      <w:r>
        <w:t>Bus</w:t>
      </w:r>
      <w:r w:rsidR="00811E66">
        <w:t>.</w:t>
      </w:r>
    </w:p>
    <w:p w14:paraId="1107EA3F" w14:textId="7AFA2EAF" w:rsidR="00FC6F5C" w:rsidRPr="0079057E" w:rsidRDefault="00FC6F5C" w:rsidP="0079057E">
      <w:pPr>
        <w:pStyle w:val="Heading2"/>
      </w:pPr>
      <w:r w:rsidRPr="0079057E">
        <w:rPr>
          <w:rStyle w:val="Heading1Char"/>
          <w:b/>
          <w:sz w:val="32"/>
          <w:szCs w:val="26"/>
        </w:rPr>
        <w:t>Regional</w:t>
      </w:r>
      <w:r w:rsidRPr="0079057E">
        <w:tab/>
      </w:r>
      <w:r w:rsidRPr="0079057E">
        <w:tab/>
      </w:r>
      <w:r w:rsidRPr="0079057E">
        <w:tab/>
      </w:r>
    </w:p>
    <w:p w14:paraId="77B23738" w14:textId="77777777" w:rsidR="00FC6F5C" w:rsidRPr="000443EE" w:rsidRDefault="00FC6F5C" w:rsidP="00FC6F5C">
      <w:r w:rsidRPr="000443EE">
        <w:t>Key demographics and employee profile of those who responded to the Census compared to sector wide payroll data.</w:t>
      </w:r>
    </w:p>
    <w:p w14:paraId="0AFD525D" w14:textId="77777777" w:rsidR="00FC6F5C" w:rsidRPr="000443EE" w:rsidRDefault="00FC6F5C" w:rsidP="0079057E">
      <w:pPr>
        <w:pStyle w:val="Heading3"/>
      </w:pPr>
      <w:r w:rsidRPr="000443EE">
        <w:t>Gender breakdown</w:t>
      </w:r>
    </w:p>
    <w:p w14:paraId="334D665E" w14:textId="49CE9CA8" w:rsidR="00FC6F5C" w:rsidRPr="000443EE" w:rsidRDefault="00FC6F5C" w:rsidP="00861C9A">
      <w:r>
        <w:t>5,680</w:t>
      </w:r>
      <w:r w:rsidRPr="000443EE">
        <w:t xml:space="preserve"> employees are female, which is </w:t>
      </w:r>
      <w:r>
        <w:t>70.1</w:t>
      </w:r>
      <w:r w:rsidRPr="000443EE">
        <w:t xml:space="preserve">% of </w:t>
      </w:r>
      <w:r w:rsidR="00D83FAB">
        <w:t>regional respondents</w:t>
      </w:r>
      <w:r w:rsidRPr="000443EE">
        <w:t>.</w:t>
      </w:r>
    </w:p>
    <w:p w14:paraId="3B5D00E9" w14:textId="6D639B38" w:rsidR="00FC6F5C" w:rsidRPr="000443EE" w:rsidRDefault="00FC6F5C" w:rsidP="00861C9A">
      <w:r>
        <w:t>2,357</w:t>
      </w:r>
      <w:r w:rsidRPr="000443EE">
        <w:t xml:space="preserve"> employees are male, which is </w:t>
      </w:r>
      <w:r>
        <w:t>29.1</w:t>
      </w:r>
      <w:r w:rsidRPr="000443EE">
        <w:t xml:space="preserve">% of </w:t>
      </w:r>
      <w:r w:rsidR="00D83FAB">
        <w:t>regional respondents</w:t>
      </w:r>
      <w:r w:rsidRPr="000443EE">
        <w:t>.</w:t>
      </w:r>
    </w:p>
    <w:p w14:paraId="79F8BF89" w14:textId="70607078" w:rsidR="00FC6F5C" w:rsidRPr="000443EE" w:rsidRDefault="00FC6F5C" w:rsidP="00861C9A">
      <w:r>
        <w:t>43</w:t>
      </w:r>
      <w:r w:rsidRPr="000443EE">
        <w:t xml:space="preserve"> employees </w:t>
      </w:r>
      <w:r w:rsidR="000F1447" w:rsidRPr="00C27AEC">
        <w:t>identif</w:t>
      </w:r>
      <w:r w:rsidR="000F1447">
        <w:t>ied as another self-identity</w:t>
      </w:r>
      <w:r w:rsidRPr="000443EE">
        <w:t xml:space="preserve">, which is less than 1% of </w:t>
      </w:r>
      <w:r w:rsidR="00D83FAB">
        <w:t>regional respondents</w:t>
      </w:r>
      <w:r w:rsidRPr="000443EE">
        <w:t>.</w:t>
      </w:r>
    </w:p>
    <w:p w14:paraId="56D8E341" w14:textId="07375F5A" w:rsidR="00FC6F5C" w:rsidRPr="000443EE" w:rsidRDefault="00FC6F5C" w:rsidP="00861C9A">
      <w:r>
        <w:t xml:space="preserve">20 </w:t>
      </w:r>
      <w:r w:rsidRPr="000443EE">
        <w:t xml:space="preserve">employees preferred not to say their gender, which is </w:t>
      </w:r>
      <w:r>
        <w:t xml:space="preserve">less than </w:t>
      </w:r>
      <w:r w:rsidRPr="000443EE">
        <w:t xml:space="preserve">1% of </w:t>
      </w:r>
      <w:r w:rsidR="00D83FAB">
        <w:t>regional respondents</w:t>
      </w:r>
      <w:r w:rsidRPr="000443EE">
        <w:t>.</w:t>
      </w:r>
    </w:p>
    <w:p w14:paraId="59931173" w14:textId="77777777" w:rsidR="00FC6F5C" w:rsidRPr="000443EE" w:rsidRDefault="00FC6F5C" w:rsidP="0079057E">
      <w:pPr>
        <w:pStyle w:val="Heading3"/>
      </w:pPr>
      <w:r w:rsidRPr="000443EE">
        <w:t>Employment status</w:t>
      </w:r>
    </w:p>
    <w:p w14:paraId="03831595" w14:textId="70CC8745" w:rsidR="00FC6F5C" w:rsidRPr="000443EE" w:rsidRDefault="00D83FAB" w:rsidP="00861C9A">
      <w:r>
        <w:t>6,755</w:t>
      </w:r>
      <w:r w:rsidR="00FC6F5C" w:rsidRPr="000443EE">
        <w:t xml:space="preserve"> employees are full-time, which is </w:t>
      </w:r>
      <w:r>
        <w:t>83</w:t>
      </w:r>
      <w:r w:rsidR="00FC6F5C" w:rsidRPr="000443EE">
        <w:t>.</w:t>
      </w:r>
      <w:r>
        <w:t>4</w:t>
      </w:r>
      <w:r w:rsidR="00FC6F5C" w:rsidRPr="000443EE">
        <w:t xml:space="preserve">% of </w:t>
      </w:r>
      <w:r>
        <w:t>regional respondents</w:t>
      </w:r>
      <w:r w:rsidR="00FC6F5C" w:rsidRPr="000443EE">
        <w:t>.</w:t>
      </w:r>
    </w:p>
    <w:p w14:paraId="56DFAC0D" w14:textId="507C5387" w:rsidR="00FC6F5C" w:rsidRPr="000443EE" w:rsidRDefault="00D83FAB" w:rsidP="00861C9A">
      <w:r>
        <w:t>1,015</w:t>
      </w:r>
      <w:r w:rsidR="00FC6F5C" w:rsidRPr="000443EE">
        <w:t xml:space="preserve"> employees are part-time, which is 1</w:t>
      </w:r>
      <w:r>
        <w:t>2</w:t>
      </w:r>
      <w:r w:rsidR="00FC6F5C" w:rsidRPr="000443EE">
        <w:t>.</w:t>
      </w:r>
      <w:r>
        <w:t>5</w:t>
      </w:r>
      <w:r w:rsidR="00FC6F5C" w:rsidRPr="000443EE">
        <w:t xml:space="preserve">% of </w:t>
      </w:r>
      <w:r>
        <w:t>regional respondents</w:t>
      </w:r>
      <w:r w:rsidR="00FC6F5C" w:rsidRPr="000443EE">
        <w:t>.</w:t>
      </w:r>
    </w:p>
    <w:p w14:paraId="5DD84E08" w14:textId="43ACDB7E" w:rsidR="00FC6F5C" w:rsidRPr="000443EE" w:rsidRDefault="00D83FAB" w:rsidP="00861C9A">
      <w:r>
        <w:t>247</w:t>
      </w:r>
      <w:r w:rsidR="00FC6F5C" w:rsidRPr="000443EE">
        <w:t xml:space="preserve"> employees are casual, which is </w:t>
      </w:r>
      <w:r>
        <w:t>3.0</w:t>
      </w:r>
      <w:r w:rsidR="00FC6F5C" w:rsidRPr="000443EE">
        <w:t xml:space="preserve">% of </w:t>
      </w:r>
      <w:r>
        <w:t>regional respondents</w:t>
      </w:r>
      <w:r w:rsidR="00FC6F5C" w:rsidRPr="000443EE">
        <w:t>.</w:t>
      </w:r>
    </w:p>
    <w:p w14:paraId="4E36648B" w14:textId="50E8A1C4" w:rsidR="00FC6F5C" w:rsidRPr="000443EE" w:rsidRDefault="00D83FAB" w:rsidP="00861C9A">
      <w:r>
        <w:t>61</w:t>
      </w:r>
      <w:r w:rsidR="00FC6F5C" w:rsidRPr="000443EE">
        <w:t xml:space="preserve"> employees answered “other” to this question, which is</w:t>
      </w:r>
      <w:r>
        <w:t xml:space="preserve"> less than</w:t>
      </w:r>
      <w:r w:rsidR="00FC6F5C" w:rsidRPr="000443EE">
        <w:t xml:space="preserve"> 1% of </w:t>
      </w:r>
      <w:r>
        <w:t>regional respondents</w:t>
      </w:r>
      <w:r w:rsidR="00FC6F5C" w:rsidRPr="000443EE">
        <w:t>.</w:t>
      </w:r>
    </w:p>
    <w:p w14:paraId="17BC07F5" w14:textId="5E6D00DF" w:rsidR="00FC6F5C" w:rsidRPr="000443EE" w:rsidRDefault="00D83FAB" w:rsidP="00861C9A">
      <w:r>
        <w:t>14</w:t>
      </w:r>
      <w:r w:rsidR="00FC6F5C" w:rsidRPr="000443EE">
        <w:t xml:space="preserve"> employees ar</w:t>
      </w:r>
      <w:r w:rsidR="00811E66">
        <w:t>e chief executive officers or Senior Executive Service officers</w:t>
      </w:r>
      <w:r w:rsidR="00FC6F5C" w:rsidRPr="000443EE">
        <w:t xml:space="preserve">, which is less than 1% of </w:t>
      </w:r>
      <w:r>
        <w:t>regional respondents</w:t>
      </w:r>
      <w:r w:rsidR="00FC6F5C" w:rsidRPr="000443EE">
        <w:t>.</w:t>
      </w:r>
    </w:p>
    <w:p w14:paraId="238A0537" w14:textId="6EAA4D65" w:rsidR="00FC6F5C" w:rsidRPr="000443EE" w:rsidRDefault="00D83FAB" w:rsidP="00861C9A">
      <w:r>
        <w:t>8</w:t>
      </w:r>
      <w:r w:rsidR="00FC6F5C" w:rsidRPr="000443EE">
        <w:t xml:space="preserve"> employees are sessional</w:t>
      </w:r>
      <w:r w:rsidR="00F571ED">
        <w:t xml:space="preserve"> employees</w:t>
      </w:r>
      <w:r w:rsidR="00FC6F5C" w:rsidRPr="000443EE">
        <w:t xml:space="preserve">, which is less than 1% of </w:t>
      </w:r>
      <w:r>
        <w:t>regional respondents</w:t>
      </w:r>
      <w:r w:rsidR="00FC6F5C" w:rsidRPr="000443EE">
        <w:t>.</w:t>
      </w:r>
    </w:p>
    <w:p w14:paraId="0BC7CC77" w14:textId="77777777" w:rsidR="00F571ED" w:rsidRPr="00C27AEC" w:rsidRDefault="00F571ED" w:rsidP="0079057E">
      <w:pPr>
        <w:pStyle w:val="Heading3"/>
      </w:pPr>
      <w:r>
        <w:t xml:space="preserve">Other demographic information </w:t>
      </w:r>
    </w:p>
    <w:p w14:paraId="0AFBA037" w14:textId="77777777" w:rsidR="00F571ED" w:rsidRPr="00C27AEC" w:rsidRDefault="00F571ED" w:rsidP="00861C9A">
      <w:r>
        <w:t xml:space="preserve">The most common age group is </w:t>
      </w:r>
      <w:proofErr w:type="gramStart"/>
      <w:r w:rsidRPr="00C27AEC">
        <w:t>50 to 54 year</w:t>
      </w:r>
      <w:r>
        <w:t xml:space="preserve"> olds</w:t>
      </w:r>
      <w:proofErr w:type="gramEnd"/>
      <w:r>
        <w:t>.</w:t>
      </w:r>
    </w:p>
    <w:p w14:paraId="723E0D2F" w14:textId="191436CF" w:rsidR="00F571ED" w:rsidRPr="00C27AEC" w:rsidRDefault="00F571ED" w:rsidP="00861C9A">
      <w:r>
        <w:t>235</w:t>
      </w:r>
      <w:r w:rsidRPr="00C27AEC">
        <w:t xml:space="preserve"> employees are</w:t>
      </w:r>
      <w:r>
        <w:t xml:space="preserve"> youth</w:t>
      </w:r>
      <w:r w:rsidRPr="00C27AEC">
        <w:t xml:space="preserve"> </w:t>
      </w:r>
      <w:r>
        <w:t>aged</w:t>
      </w:r>
      <w:r w:rsidRPr="00C27AEC">
        <w:t xml:space="preserve"> 24 years </w:t>
      </w:r>
      <w:r>
        <w:t>or under</w:t>
      </w:r>
      <w:r w:rsidRPr="00C27AEC">
        <w:t xml:space="preserve">, which </w:t>
      </w:r>
      <w:r w:rsidRPr="000443EE">
        <w:t>is</w:t>
      </w:r>
      <w:r w:rsidRPr="00C27AEC">
        <w:t xml:space="preserve"> </w:t>
      </w:r>
      <w:r>
        <w:t>2.9</w:t>
      </w:r>
      <w:r w:rsidRPr="00C27AEC">
        <w:t xml:space="preserve">% of </w:t>
      </w:r>
      <w:r w:rsidR="0088286E">
        <w:t>metropolitan</w:t>
      </w:r>
      <w:r w:rsidRPr="00C27AEC">
        <w:t xml:space="preserve"> respondents.</w:t>
      </w:r>
    </w:p>
    <w:p w14:paraId="518CAE8C" w14:textId="6136F870" w:rsidR="00F571ED" w:rsidRPr="00C27AEC" w:rsidRDefault="00F571ED" w:rsidP="00861C9A">
      <w:r>
        <w:t xml:space="preserve">The most common tenure </w:t>
      </w:r>
      <w:r w:rsidRPr="00C27AEC">
        <w:t xml:space="preserve">of </w:t>
      </w:r>
      <w:r w:rsidR="0088286E">
        <w:t>metropolitan</w:t>
      </w:r>
      <w:r w:rsidRPr="00C27AEC">
        <w:t xml:space="preserve"> respondents</w:t>
      </w:r>
      <w:r>
        <w:t xml:space="preserve"> is </w:t>
      </w:r>
      <w:r w:rsidRPr="00C27AEC">
        <w:t>5 to less than 11 years</w:t>
      </w:r>
      <w:r>
        <w:t>.</w:t>
      </w:r>
    </w:p>
    <w:p w14:paraId="1D110F0C" w14:textId="77777777" w:rsidR="00F571ED" w:rsidRPr="00B450D6" w:rsidRDefault="00F571ED" w:rsidP="00861C9A">
      <w:pPr>
        <w:pStyle w:val="Heading4"/>
        <w:spacing w:before="0"/>
        <w:rPr>
          <w:rFonts w:asciiTheme="minorHAnsi" w:eastAsiaTheme="minorHAnsi" w:hAnsiTheme="minorHAnsi" w:cstheme="minorBidi"/>
          <w:iCs w:val="0"/>
        </w:rPr>
      </w:pPr>
      <w:r w:rsidRPr="00B450D6">
        <w:rPr>
          <w:rFonts w:asciiTheme="minorHAnsi" w:eastAsiaTheme="minorHAnsi" w:hAnsiTheme="minorHAnsi" w:cstheme="minorBidi"/>
          <w:iCs w:val="0"/>
        </w:rPr>
        <w:t>The most common salary range was $93,000 to $107,000, which is equivalent to Level 5 under the Public Sector CSA Agreement.</w:t>
      </w:r>
    </w:p>
    <w:p w14:paraId="5031C157" w14:textId="638FF19D" w:rsidR="00FC6F5C" w:rsidRPr="000443EE" w:rsidRDefault="00320541" w:rsidP="00861C9A">
      <w:r>
        <w:t>489</w:t>
      </w:r>
      <w:r w:rsidR="00FC6F5C" w:rsidRPr="000443EE">
        <w:t xml:space="preserve"> employees, which is 8% of </w:t>
      </w:r>
      <w:r w:rsidR="00F571ED">
        <w:t xml:space="preserve">regional </w:t>
      </w:r>
      <w:r w:rsidR="00FC6F5C" w:rsidRPr="000443EE">
        <w:t>full-time employees, want to reduce their hours.</w:t>
      </w:r>
    </w:p>
    <w:p w14:paraId="7C016FE0" w14:textId="32474F35" w:rsidR="00FC6F5C" w:rsidRPr="000443EE" w:rsidRDefault="00015989" w:rsidP="00861C9A">
      <w:r>
        <w:t>216</w:t>
      </w:r>
      <w:r w:rsidR="00FC6F5C" w:rsidRPr="000443EE">
        <w:t xml:space="preserve"> employees, which is </w:t>
      </w:r>
      <w:r>
        <w:t>12</w:t>
      </w:r>
      <w:r w:rsidR="00FC6F5C" w:rsidRPr="000443EE">
        <w:t xml:space="preserve">% of </w:t>
      </w:r>
      <w:r w:rsidR="00F571ED">
        <w:t>regional part</w:t>
      </w:r>
      <w:r w:rsidR="00FC6F5C" w:rsidRPr="000443EE">
        <w:t>-time employees, want to increase their hours.</w:t>
      </w:r>
    </w:p>
    <w:p w14:paraId="5E2DEFD1" w14:textId="6FF885ED" w:rsidR="00FC6F5C" w:rsidRPr="000443EE" w:rsidRDefault="00FC6F5C" w:rsidP="0079057E">
      <w:pPr>
        <w:pStyle w:val="Heading3"/>
      </w:pPr>
      <w:r w:rsidRPr="000443EE">
        <w:t>Top 3 reasons why</w:t>
      </w:r>
      <w:r w:rsidR="00E91576">
        <w:t xml:space="preserve"> regional</w:t>
      </w:r>
      <w:r w:rsidRPr="000443EE">
        <w:t xml:space="preserve"> employees work </w:t>
      </w:r>
      <w:proofErr w:type="gramStart"/>
      <w:r w:rsidRPr="000443EE">
        <w:t>full-time</w:t>
      </w:r>
      <w:proofErr w:type="gramEnd"/>
    </w:p>
    <w:p w14:paraId="4C8D8CF4" w14:textId="6CC463AE" w:rsidR="00FC6F5C" w:rsidRPr="000443EE" w:rsidRDefault="00FC6F5C" w:rsidP="00E67942">
      <w:pPr>
        <w:pStyle w:val="ListParagraph"/>
        <w:numPr>
          <w:ilvl w:val="0"/>
          <w:numId w:val="6"/>
        </w:numPr>
      </w:pPr>
      <w:r w:rsidRPr="000443EE">
        <w:t xml:space="preserve">I want to work </w:t>
      </w:r>
      <w:proofErr w:type="gramStart"/>
      <w:r w:rsidRPr="000443EE">
        <w:t>full-time</w:t>
      </w:r>
      <w:proofErr w:type="gramEnd"/>
    </w:p>
    <w:p w14:paraId="4D35CC40" w14:textId="052DFE2A" w:rsidR="416C342D" w:rsidRDefault="416C342D" w:rsidP="73931DFC">
      <w:pPr>
        <w:pStyle w:val="ListParagraph"/>
        <w:numPr>
          <w:ilvl w:val="0"/>
          <w:numId w:val="6"/>
        </w:numPr>
      </w:pPr>
      <w:r>
        <w:t>Financial</w:t>
      </w:r>
    </w:p>
    <w:p w14:paraId="3A9FBACC" w14:textId="2AC81675" w:rsidR="00FC6F5C" w:rsidRPr="000443EE" w:rsidRDefault="00FC6F5C" w:rsidP="00E67942">
      <w:pPr>
        <w:pStyle w:val="ListParagraph"/>
        <w:numPr>
          <w:ilvl w:val="0"/>
          <w:numId w:val="6"/>
        </w:numPr>
      </w:pPr>
      <w:r w:rsidRPr="000443EE">
        <w:t>Lifestyle</w:t>
      </w:r>
      <w:r w:rsidR="00811E66">
        <w:t>.</w:t>
      </w:r>
    </w:p>
    <w:p w14:paraId="1CCDF915" w14:textId="305C6F46" w:rsidR="00FC6F5C" w:rsidRPr="000443EE" w:rsidRDefault="00FC6F5C" w:rsidP="0079057E">
      <w:pPr>
        <w:pStyle w:val="Heading3"/>
      </w:pPr>
      <w:r w:rsidRPr="000443EE">
        <w:lastRenderedPageBreak/>
        <w:t xml:space="preserve">Top 3 reasons why </w:t>
      </w:r>
      <w:r w:rsidR="00E91576">
        <w:t xml:space="preserve">regional </w:t>
      </w:r>
      <w:r w:rsidRPr="000443EE">
        <w:t xml:space="preserve">employees work </w:t>
      </w:r>
      <w:proofErr w:type="gramStart"/>
      <w:r w:rsidRPr="000443EE">
        <w:t>part-time</w:t>
      </w:r>
      <w:proofErr w:type="gramEnd"/>
    </w:p>
    <w:p w14:paraId="24D94D5B" w14:textId="7E699AF8" w:rsidR="00FC6F5C" w:rsidRPr="000443EE" w:rsidRDefault="00FC6F5C" w:rsidP="5D99BFD0">
      <w:pPr>
        <w:pStyle w:val="ListParagraph"/>
        <w:numPr>
          <w:ilvl w:val="0"/>
          <w:numId w:val="23"/>
        </w:numPr>
      </w:pPr>
      <w:r w:rsidRPr="000443EE">
        <w:t>Family</w:t>
      </w:r>
      <w:r w:rsidR="00811E66">
        <w:t xml:space="preserve"> and </w:t>
      </w:r>
      <w:r w:rsidRPr="000443EE">
        <w:t>caring responsibilities</w:t>
      </w:r>
    </w:p>
    <w:p w14:paraId="3F7974C6" w14:textId="2AC813CB" w:rsidR="00FC6F5C" w:rsidRPr="000443EE" w:rsidRDefault="00FC6F5C" w:rsidP="5D99BFD0">
      <w:pPr>
        <w:pStyle w:val="ListParagraph"/>
        <w:numPr>
          <w:ilvl w:val="0"/>
          <w:numId w:val="23"/>
        </w:numPr>
      </w:pPr>
      <w:r w:rsidRPr="000443EE">
        <w:t xml:space="preserve">I want to work </w:t>
      </w:r>
      <w:proofErr w:type="gramStart"/>
      <w:r w:rsidRPr="000443EE">
        <w:t>part-time</w:t>
      </w:r>
      <w:proofErr w:type="gramEnd"/>
    </w:p>
    <w:p w14:paraId="3181AC2B" w14:textId="59125A0C" w:rsidR="00FC6F5C" w:rsidRPr="000443EE" w:rsidRDefault="00FC6F5C" w:rsidP="5D99BFD0">
      <w:pPr>
        <w:pStyle w:val="ListParagraph"/>
        <w:numPr>
          <w:ilvl w:val="0"/>
          <w:numId w:val="23"/>
        </w:numPr>
      </w:pPr>
      <w:r w:rsidRPr="000443EE">
        <w:t>Work</w:t>
      </w:r>
      <w:r w:rsidR="00811E66">
        <w:t>-</w:t>
      </w:r>
      <w:r w:rsidRPr="000443EE">
        <w:t>life balance</w:t>
      </w:r>
      <w:r w:rsidR="00811E66">
        <w:t>.</w:t>
      </w:r>
    </w:p>
    <w:p w14:paraId="56B6B819" w14:textId="77777777" w:rsidR="00FC6F5C" w:rsidRPr="000443EE" w:rsidRDefault="00FC6F5C" w:rsidP="0079057E">
      <w:pPr>
        <w:pStyle w:val="Heading3"/>
      </w:pPr>
      <w:r w:rsidRPr="000443EE">
        <w:t>Where our employees live and work</w:t>
      </w:r>
    </w:p>
    <w:p w14:paraId="3AC1860D" w14:textId="34C1266E" w:rsidR="00FC6F5C" w:rsidRPr="000443EE" w:rsidRDefault="00317C70" w:rsidP="00FC6F5C">
      <w:r>
        <w:t>Two</w:t>
      </w:r>
      <w:r w:rsidR="00FC6F5C" w:rsidRPr="000443EE">
        <w:t xml:space="preserve"> </w:t>
      </w:r>
      <w:r w:rsidR="00FC6F5C" w:rsidRPr="00C27AEC">
        <w:t>map</w:t>
      </w:r>
      <w:r w:rsidR="00877F97">
        <w:t>s</w:t>
      </w:r>
      <w:r w:rsidR="00FC6F5C" w:rsidRPr="000443EE">
        <w:t xml:space="preserve"> </w:t>
      </w:r>
      <w:r w:rsidR="00014E55">
        <w:t xml:space="preserve">of </w:t>
      </w:r>
      <w:r>
        <w:t xml:space="preserve">WA </w:t>
      </w:r>
      <w:r w:rsidR="00FC6F5C" w:rsidRPr="000443EE">
        <w:t xml:space="preserve">showing </w:t>
      </w:r>
      <w:r w:rsidR="00FC6F5C">
        <w:t xml:space="preserve">the postcodes </w:t>
      </w:r>
      <w:r w:rsidR="00811E66">
        <w:t xml:space="preserve">of </w:t>
      </w:r>
      <w:r w:rsidR="00FC6F5C" w:rsidRPr="000443EE">
        <w:t>census respondents</w:t>
      </w:r>
      <w:r w:rsidR="00FC6F5C">
        <w:t>’ homes and workplaces</w:t>
      </w:r>
      <w:r w:rsidR="00FC6F5C" w:rsidRPr="000443EE">
        <w:t xml:space="preserve">. </w:t>
      </w:r>
      <w:r w:rsidR="00811E66">
        <w:t>One</w:t>
      </w:r>
      <w:r>
        <w:t xml:space="preserve"> map shows b</w:t>
      </w:r>
      <w:r w:rsidR="00FC6F5C" w:rsidRPr="000443EE">
        <w:t xml:space="preserve">lue dots </w:t>
      </w:r>
      <w:r>
        <w:t xml:space="preserve">which represent where </w:t>
      </w:r>
      <w:r w:rsidR="00FC6F5C" w:rsidRPr="000443EE">
        <w:t xml:space="preserve">respondents work, with the larger and darker dots showing greater numbers of people. </w:t>
      </w:r>
      <w:r w:rsidR="001611DE">
        <w:t xml:space="preserve">The </w:t>
      </w:r>
      <w:r w:rsidR="00811E66">
        <w:t>other</w:t>
      </w:r>
      <w:r w:rsidR="001611DE">
        <w:t xml:space="preserve"> map shows</w:t>
      </w:r>
      <w:r w:rsidR="00FC6F5C" w:rsidRPr="000443EE">
        <w:t xml:space="preserve"> purple dots </w:t>
      </w:r>
      <w:r w:rsidR="001611DE">
        <w:t xml:space="preserve">representing where respondents live, dots being </w:t>
      </w:r>
      <w:r w:rsidR="00FC6F5C" w:rsidRPr="000443EE">
        <w:t xml:space="preserve">larger and darker for postcodes </w:t>
      </w:r>
      <w:r w:rsidR="001611DE">
        <w:t>with more people.</w:t>
      </w:r>
    </w:p>
    <w:p w14:paraId="2D407AF0" w14:textId="6D504256" w:rsidR="00FC6F5C" w:rsidRDefault="001611DE" w:rsidP="00FC6F5C">
      <w:r>
        <w:t xml:space="preserve">On both maps, the largest blue and purple dots are found in Bunbury, Albany, </w:t>
      </w:r>
      <w:proofErr w:type="gramStart"/>
      <w:r>
        <w:t>Kalgoorlie</w:t>
      </w:r>
      <w:proofErr w:type="gramEnd"/>
      <w:r>
        <w:t xml:space="preserve"> and Geraldton.</w:t>
      </w:r>
    </w:p>
    <w:p w14:paraId="1DB91757" w14:textId="77777777" w:rsidR="00FC6F5C" w:rsidRDefault="00FC6F5C" w:rsidP="00FC6F5C">
      <w:pPr>
        <w:pStyle w:val="Heading4"/>
      </w:pPr>
      <w:r>
        <w:t>Top 3 methods of commuting to work</w:t>
      </w:r>
    </w:p>
    <w:p w14:paraId="60C12963" w14:textId="7834BB7B" w:rsidR="00FC6F5C" w:rsidRDefault="00FC6F5C" w:rsidP="00E67942">
      <w:pPr>
        <w:pStyle w:val="ListParagraph"/>
        <w:numPr>
          <w:ilvl w:val="0"/>
          <w:numId w:val="7"/>
        </w:numPr>
      </w:pPr>
      <w:r>
        <w:t>Car</w:t>
      </w:r>
    </w:p>
    <w:p w14:paraId="6D5DB16D" w14:textId="677B6D83" w:rsidR="00FC6F5C" w:rsidRDefault="00014E55" w:rsidP="00E67942">
      <w:pPr>
        <w:pStyle w:val="ListParagraph"/>
        <w:numPr>
          <w:ilvl w:val="0"/>
          <w:numId w:val="7"/>
        </w:numPr>
      </w:pPr>
      <w:r>
        <w:t>Walk</w:t>
      </w:r>
    </w:p>
    <w:p w14:paraId="3E6C831B" w14:textId="0E84F694" w:rsidR="00FC6F5C" w:rsidRDefault="00014E55" w:rsidP="00E67942">
      <w:pPr>
        <w:pStyle w:val="ListParagraph"/>
        <w:numPr>
          <w:ilvl w:val="0"/>
          <w:numId w:val="7"/>
        </w:numPr>
      </w:pPr>
      <w:r>
        <w:t>Cycle</w:t>
      </w:r>
      <w:r w:rsidR="00811E66">
        <w:t>.</w:t>
      </w:r>
    </w:p>
    <w:p w14:paraId="30BFF1D7" w14:textId="77777777" w:rsidR="008C7B74" w:rsidRDefault="008C7B74">
      <w:pPr>
        <w:spacing w:after="160"/>
        <w:rPr>
          <w:rStyle w:val="Heading1Char"/>
        </w:rPr>
      </w:pPr>
      <w:r>
        <w:rPr>
          <w:rStyle w:val="Heading1Char"/>
        </w:rPr>
        <w:br w:type="page"/>
      </w:r>
    </w:p>
    <w:p w14:paraId="69FC49F1" w14:textId="7110E8CD" w:rsidR="00611CC8" w:rsidRDefault="68E0C8F1">
      <w:pPr>
        <w:rPr>
          <w:rStyle w:val="Heading1Char"/>
        </w:rPr>
      </w:pPr>
      <w:r w:rsidRPr="37327F11">
        <w:rPr>
          <w:rStyle w:val="Heading1Char"/>
        </w:rPr>
        <w:lastRenderedPageBreak/>
        <w:t>Workforce Characteristics</w:t>
      </w:r>
    </w:p>
    <w:p w14:paraId="0265C92B" w14:textId="442C7147" w:rsidR="003B5FF0" w:rsidRDefault="003B5FF0" w:rsidP="00861C9A">
      <w:r w:rsidRPr="003B5FF0">
        <w:t>Insights related to public sector tenure, working arrangements, leave, main types of work and other related characteristics</w:t>
      </w:r>
      <w:r>
        <w:t>.</w:t>
      </w:r>
    </w:p>
    <w:p w14:paraId="0E884B31" w14:textId="1E14A001" w:rsidR="00331A80" w:rsidRPr="00C27AEC" w:rsidRDefault="00331A80" w:rsidP="00331A80">
      <w:pPr>
        <w:pStyle w:val="Heading2"/>
      </w:pPr>
      <w:r>
        <w:t xml:space="preserve">Public </w:t>
      </w:r>
      <w:r w:rsidR="0065255D">
        <w:t>s</w:t>
      </w:r>
      <w:r>
        <w:t xml:space="preserve">ector </w:t>
      </w:r>
      <w:r w:rsidR="0065255D">
        <w:t>t</w:t>
      </w:r>
      <w:r>
        <w:t>enure</w:t>
      </w:r>
    </w:p>
    <w:p w14:paraId="4F42C94D" w14:textId="44560697" w:rsidR="00455998" w:rsidRDefault="00455998" w:rsidP="00861C9A">
      <w:r>
        <w:t>3,160 employees</w:t>
      </w:r>
      <w:r w:rsidR="0073770D">
        <w:t xml:space="preserve"> have a tenure of less than 1 year</w:t>
      </w:r>
      <w:r w:rsidR="0073770D" w:rsidRPr="00C27AEC">
        <w:t xml:space="preserve">, which </w:t>
      </w:r>
      <w:r w:rsidR="0073770D" w:rsidRPr="000443EE">
        <w:t>is</w:t>
      </w:r>
      <w:r w:rsidR="0073770D" w:rsidRPr="00C27AEC">
        <w:t xml:space="preserve"> </w:t>
      </w:r>
      <w:r>
        <w:t>6.7</w:t>
      </w:r>
      <w:r w:rsidR="0073770D" w:rsidRPr="00C27AEC">
        <w:t>% of the sector.</w:t>
      </w:r>
    </w:p>
    <w:p w14:paraId="2EF5D569" w14:textId="52E5B015" w:rsidR="008029CA" w:rsidRDefault="00EB209A" w:rsidP="00861C9A">
      <w:r>
        <w:t>5,161</w:t>
      </w:r>
      <w:r w:rsidR="0073770D" w:rsidRPr="00C27AEC">
        <w:t xml:space="preserve"> </w:t>
      </w:r>
      <w:r w:rsidR="003B5174">
        <w:t>emplo</w:t>
      </w:r>
      <w:r w:rsidR="008029CA">
        <w:t xml:space="preserve">yees </w:t>
      </w:r>
      <w:r w:rsidR="0073770D">
        <w:t>have a tenure of between 1 and 3 years</w:t>
      </w:r>
      <w:r w:rsidR="008029CA">
        <w:t>,</w:t>
      </w:r>
      <w:r w:rsidR="008029CA" w:rsidRPr="008029CA">
        <w:t xml:space="preserve"> </w:t>
      </w:r>
      <w:r w:rsidR="008029CA" w:rsidRPr="00C27AEC">
        <w:t xml:space="preserve">which </w:t>
      </w:r>
      <w:r w:rsidR="008029CA" w:rsidRPr="000443EE">
        <w:t>is</w:t>
      </w:r>
      <w:r w:rsidR="008029CA" w:rsidRPr="00C27AEC">
        <w:t xml:space="preserve"> </w:t>
      </w:r>
      <w:r w:rsidR="008029CA">
        <w:t>11</w:t>
      </w:r>
      <w:r w:rsidR="008029CA" w:rsidRPr="00C27AEC">
        <w:t>% of the sector.</w:t>
      </w:r>
    </w:p>
    <w:p w14:paraId="439D501C" w14:textId="75D98A2F" w:rsidR="0073770D" w:rsidRPr="00C27AEC" w:rsidRDefault="006529B5" w:rsidP="00861C9A">
      <w:r>
        <w:t>4,276</w:t>
      </w:r>
      <w:r w:rsidR="0073770D" w:rsidRPr="00C27AEC">
        <w:t xml:space="preserve"> employees </w:t>
      </w:r>
      <w:r w:rsidR="0073770D">
        <w:t>have a tenure of between 3 and 5 years</w:t>
      </w:r>
      <w:r w:rsidR="0073770D" w:rsidRPr="00C27AEC">
        <w:t xml:space="preserve">, which is </w:t>
      </w:r>
      <w:r>
        <w:t>9.1</w:t>
      </w:r>
      <w:r w:rsidR="0073770D" w:rsidRPr="00C27AEC">
        <w:t xml:space="preserve">% of </w:t>
      </w:r>
      <w:r w:rsidR="00D85058">
        <w:t>the sector</w:t>
      </w:r>
      <w:r w:rsidR="0073770D">
        <w:t>.</w:t>
      </w:r>
    </w:p>
    <w:p w14:paraId="051714D2" w14:textId="3BC7A6F8" w:rsidR="0073770D" w:rsidRPr="00C27AEC" w:rsidRDefault="00D85058" w:rsidP="00861C9A">
      <w:r>
        <w:t>9,549</w:t>
      </w:r>
      <w:r w:rsidR="0073770D" w:rsidRPr="00C27AEC">
        <w:t xml:space="preserve"> employees </w:t>
      </w:r>
      <w:r w:rsidR="0073770D">
        <w:t>have a tenure of between 5 and 11 years</w:t>
      </w:r>
      <w:r w:rsidR="0073770D" w:rsidRPr="00C27AEC">
        <w:t xml:space="preserve">, which is </w:t>
      </w:r>
      <w:r w:rsidR="0073770D">
        <w:t>20.</w:t>
      </w:r>
      <w:r>
        <w:t>3</w:t>
      </w:r>
      <w:r w:rsidR="0073770D" w:rsidRPr="00C27AEC">
        <w:t xml:space="preserve">% </w:t>
      </w:r>
      <w:r w:rsidR="00102286" w:rsidRPr="00C27AEC">
        <w:t xml:space="preserve">of </w:t>
      </w:r>
      <w:r w:rsidR="00102286">
        <w:t>the sector</w:t>
      </w:r>
      <w:r w:rsidR="0073770D">
        <w:t>.</w:t>
      </w:r>
    </w:p>
    <w:p w14:paraId="61867D2D" w14:textId="342FE056" w:rsidR="0073770D" w:rsidRDefault="00102286" w:rsidP="00861C9A">
      <w:r>
        <w:t>24</w:t>
      </w:r>
      <w:r w:rsidR="0073770D">
        <w:t>,</w:t>
      </w:r>
      <w:r>
        <w:t xml:space="preserve">737 </w:t>
      </w:r>
      <w:r w:rsidR="0073770D" w:rsidRPr="00C27AEC">
        <w:t xml:space="preserve">employees </w:t>
      </w:r>
      <w:r w:rsidR="0073770D">
        <w:t>have a tenure of more than 11 years</w:t>
      </w:r>
      <w:r w:rsidR="0073770D" w:rsidRPr="00C27AEC">
        <w:t xml:space="preserve">, which is </w:t>
      </w:r>
      <w:r>
        <w:t>52.5</w:t>
      </w:r>
      <w:r w:rsidR="0073770D" w:rsidRPr="00C27AEC">
        <w:t xml:space="preserve">% </w:t>
      </w:r>
      <w:r w:rsidRPr="00C27AEC">
        <w:t xml:space="preserve">of </w:t>
      </w:r>
      <w:r>
        <w:t>the sector</w:t>
      </w:r>
      <w:r w:rsidR="0073770D">
        <w:t>.</w:t>
      </w:r>
    </w:p>
    <w:p w14:paraId="17126088" w14:textId="5E29820D" w:rsidR="0073770D" w:rsidRDefault="008D4518" w:rsidP="008D4518">
      <w:pPr>
        <w:pStyle w:val="Heading2"/>
      </w:pPr>
      <w:r>
        <w:t xml:space="preserve">Recommending their </w:t>
      </w:r>
      <w:r w:rsidR="0065255D">
        <w:t>agency</w:t>
      </w:r>
    </w:p>
    <w:p w14:paraId="37A5A295" w14:textId="27F6504A" w:rsidR="0065255D" w:rsidRPr="0065255D" w:rsidRDefault="00DE1020" w:rsidP="00861C9A">
      <w:r>
        <w:t>32,924 employees</w:t>
      </w:r>
      <w:r w:rsidR="007A7F8E">
        <w:t xml:space="preserve"> </w:t>
      </w:r>
      <w:r w:rsidR="00CA5678">
        <w:t>have recommended or would recommend their agency as a place to work, which is 69.9% of the sector.</w:t>
      </w:r>
    </w:p>
    <w:p w14:paraId="2A709648" w14:textId="1E69B6E7" w:rsidR="00331A80" w:rsidRDefault="00CA5678" w:rsidP="00861C9A">
      <w:r>
        <w:t>11,500 employees would</w:t>
      </w:r>
      <w:r w:rsidR="00DC0933">
        <w:t xml:space="preserve"> </w:t>
      </w:r>
      <w:r w:rsidR="006011FA">
        <w:t>n</w:t>
      </w:r>
      <w:r w:rsidR="00DC0933">
        <w:t>o</w:t>
      </w:r>
      <w:r w:rsidR="006011FA">
        <w:t xml:space="preserve">t </w:t>
      </w:r>
      <w:r>
        <w:t xml:space="preserve">recommend their agency as a place to work, which is </w:t>
      </w:r>
      <w:r w:rsidR="006011FA">
        <w:t>24.4</w:t>
      </w:r>
      <w:r>
        <w:t>% of the sector.</w:t>
      </w:r>
    </w:p>
    <w:p w14:paraId="09F56754" w14:textId="1B6DE4F6" w:rsidR="006011FA" w:rsidRDefault="002970AE" w:rsidP="002970AE">
      <w:pPr>
        <w:pStyle w:val="Heading2"/>
      </w:pPr>
      <w:r>
        <w:t>Acting</w:t>
      </w:r>
      <w:r w:rsidR="00DC0933">
        <w:t xml:space="preserve"> and</w:t>
      </w:r>
      <w:r>
        <w:t xml:space="preserve"> temporary special allowance</w:t>
      </w:r>
    </w:p>
    <w:p w14:paraId="1796D586" w14:textId="283E47BF" w:rsidR="002970AE" w:rsidRDefault="007B0E07" w:rsidP="002970AE">
      <w:r>
        <w:t>6,200 employees are currently acting and or receiving a temporary special allowance, which is 13.2% of the sector.</w:t>
      </w:r>
    </w:p>
    <w:p w14:paraId="6711E7F3" w14:textId="6483805C" w:rsidR="00D70BC6" w:rsidRDefault="00D70BC6" w:rsidP="00C92836">
      <w:pPr>
        <w:pStyle w:val="Heading3"/>
      </w:pPr>
      <w:r>
        <w:t>Gender breakdown</w:t>
      </w:r>
    </w:p>
    <w:p w14:paraId="4DA12E3A" w14:textId="70BC970E" w:rsidR="00695C89" w:rsidRDefault="00ED073F" w:rsidP="00861C9A">
      <w:r>
        <w:t>4,022</w:t>
      </w:r>
      <w:r w:rsidR="00695C89">
        <w:t xml:space="preserve"> female employees, which is </w:t>
      </w:r>
      <w:r>
        <w:t>13</w:t>
      </w:r>
      <w:r w:rsidR="00695C89">
        <w:t>.</w:t>
      </w:r>
      <w:r>
        <w:t>1</w:t>
      </w:r>
      <w:r w:rsidR="00695C89">
        <w:t xml:space="preserve">% of </w:t>
      </w:r>
      <w:r w:rsidR="00DC0933">
        <w:t xml:space="preserve">all </w:t>
      </w:r>
      <w:r w:rsidR="00695C89">
        <w:t>female</w:t>
      </w:r>
      <w:r w:rsidR="00DC0933">
        <w:t xml:space="preserve"> employee</w:t>
      </w:r>
      <w:r w:rsidR="00695C89">
        <w:t xml:space="preserve">s, </w:t>
      </w:r>
      <w:r>
        <w:t>are currently acting and or receiving a temporary special allowance</w:t>
      </w:r>
      <w:r w:rsidR="00695C89">
        <w:t xml:space="preserve">. </w:t>
      </w:r>
    </w:p>
    <w:p w14:paraId="704F0222" w14:textId="74B4C739" w:rsidR="00861C9A" w:rsidRDefault="00ED073F">
      <w:pPr>
        <w:rPr>
          <w:rFonts w:ascii="Century Gothic" w:eastAsiaTheme="majorEastAsia" w:hAnsi="Century Gothic" w:cstheme="majorBidi"/>
          <w:b/>
          <w:sz w:val="26"/>
          <w:szCs w:val="24"/>
          <w:lang w:val="en-AU"/>
        </w:rPr>
      </w:pPr>
      <w:r>
        <w:t>2,064 female employees, which is 13.4% of</w:t>
      </w:r>
      <w:r w:rsidR="00DC0933">
        <w:t xml:space="preserve"> all</w:t>
      </w:r>
      <w:r>
        <w:t xml:space="preserve"> male</w:t>
      </w:r>
      <w:r w:rsidR="00DC0933">
        <w:t xml:space="preserve"> employee</w:t>
      </w:r>
      <w:r>
        <w:t xml:space="preserve">s, are currently acting and or receiving a temporary special allowance. </w:t>
      </w:r>
    </w:p>
    <w:p w14:paraId="6450CEED" w14:textId="7AAD958B" w:rsidR="00ED073F" w:rsidRDefault="00ED073F" w:rsidP="00C92836">
      <w:pPr>
        <w:pStyle w:val="Heading3"/>
      </w:pPr>
      <w:r>
        <w:t xml:space="preserve">Top 3 types of work of those acting or receiving a temporary special </w:t>
      </w:r>
      <w:proofErr w:type="gramStart"/>
      <w:r>
        <w:t>allowance</w:t>
      </w:r>
      <w:proofErr w:type="gramEnd"/>
    </w:p>
    <w:p w14:paraId="0E5E0BA2" w14:textId="5426EB42" w:rsidR="00ED073F" w:rsidRDefault="00ED073F" w:rsidP="00ED073F">
      <w:pPr>
        <w:pStyle w:val="ListParagraph"/>
        <w:numPr>
          <w:ilvl w:val="0"/>
          <w:numId w:val="24"/>
        </w:numPr>
      </w:pPr>
      <w:r>
        <w:t>Project management, project support</w:t>
      </w:r>
    </w:p>
    <w:p w14:paraId="78253197" w14:textId="24A79853" w:rsidR="00ED073F" w:rsidRDefault="00ED073F" w:rsidP="00ED073F">
      <w:pPr>
        <w:pStyle w:val="ListParagraph"/>
        <w:numPr>
          <w:ilvl w:val="0"/>
          <w:numId w:val="24"/>
        </w:numPr>
      </w:pPr>
      <w:r>
        <w:t>Administrative support</w:t>
      </w:r>
    </w:p>
    <w:p w14:paraId="5FA718CA" w14:textId="0A21322C" w:rsidR="002970AE" w:rsidRDefault="00ED073F">
      <w:pPr>
        <w:pStyle w:val="ListParagraph"/>
        <w:numPr>
          <w:ilvl w:val="0"/>
          <w:numId w:val="24"/>
        </w:numPr>
      </w:pPr>
      <w:r>
        <w:t>Management</w:t>
      </w:r>
      <w:r w:rsidR="00DC0933">
        <w:t>.</w:t>
      </w:r>
    </w:p>
    <w:p w14:paraId="39547761" w14:textId="4D0D2A49" w:rsidR="00ED073F" w:rsidRDefault="000328BF" w:rsidP="000328BF">
      <w:pPr>
        <w:pStyle w:val="Heading2"/>
      </w:pPr>
      <w:r>
        <w:t>Time off work</w:t>
      </w:r>
    </w:p>
    <w:p w14:paraId="5FF420E3" w14:textId="6DA487C3" w:rsidR="00137FB9" w:rsidRDefault="00137FB9" w:rsidP="00137FB9">
      <w:r>
        <w:t>39,328 employees have taken time off work in the last</w:t>
      </w:r>
      <w:r w:rsidR="00B8396B">
        <w:t xml:space="preserve"> 12 months</w:t>
      </w:r>
      <w:r>
        <w:t xml:space="preserve">, which is </w:t>
      </w:r>
      <w:r w:rsidR="00B8396B">
        <w:t>83.5</w:t>
      </w:r>
      <w:r>
        <w:t>% of the sector.</w:t>
      </w:r>
    </w:p>
    <w:p w14:paraId="339E8BCB" w14:textId="77777777" w:rsidR="00137FB9" w:rsidRDefault="00137FB9" w:rsidP="00C92836">
      <w:pPr>
        <w:pStyle w:val="Heading3"/>
      </w:pPr>
      <w:r>
        <w:t>Gender breakdown</w:t>
      </w:r>
    </w:p>
    <w:p w14:paraId="6465B0BA" w14:textId="21F28A9E" w:rsidR="00137FB9" w:rsidRDefault="00B8396B" w:rsidP="00861C9A">
      <w:r>
        <w:t>26</w:t>
      </w:r>
      <w:r w:rsidR="00137FB9">
        <w:t xml:space="preserve">,022 female employees, which is </w:t>
      </w:r>
      <w:r>
        <w:t>84.9</w:t>
      </w:r>
      <w:r w:rsidR="00137FB9">
        <w:t>% of</w:t>
      </w:r>
      <w:r w:rsidR="00DC0933">
        <w:t xml:space="preserve"> all</w:t>
      </w:r>
      <w:r w:rsidR="00137FB9">
        <w:t xml:space="preserve"> female</w:t>
      </w:r>
      <w:r w:rsidR="00DC0933">
        <w:t xml:space="preserve"> employee</w:t>
      </w:r>
      <w:r w:rsidR="00137FB9">
        <w:t xml:space="preserve">s, </w:t>
      </w:r>
      <w:r>
        <w:t>have taken time off work in the last 12 months</w:t>
      </w:r>
      <w:r w:rsidR="00137FB9">
        <w:t>.</w:t>
      </w:r>
    </w:p>
    <w:p w14:paraId="3AEC528A" w14:textId="076A1ABE" w:rsidR="00B8396B" w:rsidRDefault="00B8396B" w:rsidP="00861C9A">
      <w:r>
        <w:t xml:space="preserve">12,599 male employees, which is 81.7% of </w:t>
      </w:r>
      <w:r w:rsidR="00DC0933">
        <w:t>all male employee</w:t>
      </w:r>
      <w:r>
        <w:t xml:space="preserve">s, have taken time off work in the last 12 months. </w:t>
      </w:r>
    </w:p>
    <w:p w14:paraId="3EE5079F" w14:textId="34E2CD6F" w:rsidR="00137FB9" w:rsidRDefault="00137FB9" w:rsidP="00C92836">
      <w:pPr>
        <w:pStyle w:val="Heading3"/>
      </w:pPr>
      <w:r>
        <w:lastRenderedPageBreak/>
        <w:t xml:space="preserve">Top 3 </w:t>
      </w:r>
      <w:r w:rsidR="00B8396B">
        <w:t xml:space="preserve">reasons why employees took time </w:t>
      </w:r>
      <w:proofErr w:type="gramStart"/>
      <w:r w:rsidR="00B8396B">
        <w:t>off</w:t>
      </w:r>
      <w:proofErr w:type="gramEnd"/>
    </w:p>
    <w:p w14:paraId="73623CCB" w14:textId="08155759" w:rsidR="00137FB9" w:rsidRDefault="00B8396B" w:rsidP="00137FB9">
      <w:pPr>
        <w:pStyle w:val="ListParagraph"/>
        <w:numPr>
          <w:ilvl w:val="0"/>
          <w:numId w:val="25"/>
        </w:numPr>
      </w:pPr>
      <w:r>
        <w:t>Illness or injury</w:t>
      </w:r>
    </w:p>
    <w:p w14:paraId="1AC33661" w14:textId="2B628C73" w:rsidR="00137FB9" w:rsidRDefault="00B8396B" w:rsidP="00137FB9">
      <w:pPr>
        <w:pStyle w:val="ListParagraph"/>
        <w:numPr>
          <w:ilvl w:val="0"/>
          <w:numId w:val="25"/>
        </w:numPr>
      </w:pPr>
      <w:r>
        <w:t>COVID-19 illness</w:t>
      </w:r>
    </w:p>
    <w:p w14:paraId="4E09D9D0" w14:textId="58D13889" w:rsidR="00137FB9" w:rsidRDefault="00B8396B" w:rsidP="00137FB9">
      <w:pPr>
        <w:pStyle w:val="ListParagraph"/>
        <w:numPr>
          <w:ilvl w:val="0"/>
          <w:numId w:val="25"/>
        </w:numPr>
      </w:pPr>
      <w:r>
        <w:t xml:space="preserve">Caring </w:t>
      </w:r>
      <w:r w:rsidR="003017A6">
        <w:t>responsibilities</w:t>
      </w:r>
      <w:r w:rsidR="00DC0933">
        <w:t>.</w:t>
      </w:r>
    </w:p>
    <w:p w14:paraId="67EBCE75" w14:textId="6ABAF21E" w:rsidR="006D1986" w:rsidRDefault="00A6448C" w:rsidP="006D1986">
      <w:pPr>
        <w:pStyle w:val="Heading2"/>
      </w:pPr>
      <w:r>
        <w:t xml:space="preserve">Types of work, </w:t>
      </w:r>
      <w:r w:rsidR="00C72988">
        <w:t>voluntary severance, qualifications</w:t>
      </w:r>
    </w:p>
    <w:p w14:paraId="663C98B2" w14:textId="5F07B97A" w:rsidR="00C72988" w:rsidRDefault="00C72988" w:rsidP="00C92836">
      <w:pPr>
        <w:pStyle w:val="Heading3"/>
      </w:pPr>
      <w:r>
        <w:t>Top 3 types of work for all employees</w:t>
      </w:r>
    </w:p>
    <w:p w14:paraId="6C97CB9D" w14:textId="58A4F831" w:rsidR="00C72988" w:rsidRDefault="001D07CE" w:rsidP="001D07CE">
      <w:pPr>
        <w:pStyle w:val="ListParagraph"/>
        <w:numPr>
          <w:ilvl w:val="0"/>
          <w:numId w:val="26"/>
        </w:numPr>
      </w:pPr>
      <w:r>
        <w:t>Teaching, lecturing, training, vocational support</w:t>
      </w:r>
    </w:p>
    <w:p w14:paraId="5D0C8E00" w14:textId="5BE06E34" w:rsidR="001D07CE" w:rsidRDefault="001D07CE" w:rsidP="001D07CE">
      <w:pPr>
        <w:pStyle w:val="ListParagraph"/>
        <w:numPr>
          <w:ilvl w:val="0"/>
          <w:numId w:val="26"/>
        </w:numPr>
      </w:pPr>
      <w:r>
        <w:t>Administration support</w:t>
      </w:r>
    </w:p>
    <w:p w14:paraId="696F7DF7" w14:textId="6D72CB97" w:rsidR="001D07CE" w:rsidRDefault="001D07CE" w:rsidP="001D07CE">
      <w:pPr>
        <w:pStyle w:val="ListParagraph"/>
        <w:numPr>
          <w:ilvl w:val="0"/>
          <w:numId w:val="26"/>
        </w:numPr>
      </w:pPr>
      <w:r>
        <w:t>Project management, project support</w:t>
      </w:r>
      <w:r w:rsidR="00DC0933">
        <w:t>.</w:t>
      </w:r>
    </w:p>
    <w:p w14:paraId="3912530D" w14:textId="6CC29E96" w:rsidR="001D07CE" w:rsidRDefault="001D07CE" w:rsidP="00657C02">
      <w:pPr>
        <w:pStyle w:val="Heading3"/>
      </w:pPr>
      <w:r>
        <w:t xml:space="preserve">Received a voluntary </w:t>
      </w:r>
      <w:r w:rsidR="003349E1">
        <w:t xml:space="preserve">severance, redundancy </w:t>
      </w:r>
      <w:r w:rsidR="003755EC">
        <w:t xml:space="preserve">or section 59 </w:t>
      </w:r>
      <w:proofErr w:type="gramStart"/>
      <w:r w:rsidR="003755EC">
        <w:t>payment</w:t>
      </w:r>
      <w:proofErr w:type="gramEnd"/>
    </w:p>
    <w:p w14:paraId="2DC3B622" w14:textId="277C42C3" w:rsidR="003755EC" w:rsidRDefault="005C5089" w:rsidP="003755EC">
      <w:r>
        <w:t xml:space="preserve">1,154 employees have </w:t>
      </w:r>
      <w:r w:rsidR="00952858">
        <w:t xml:space="preserve">received a voluntary severance, </w:t>
      </w:r>
      <w:proofErr w:type="gramStart"/>
      <w:r w:rsidR="00952858">
        <w:t>redundancy</w:t>
      </w:r>
      <w:proofErr w:type="gramEnd"/>
      <w:r w:rsidR="00952858">
        <w:t xml:space="preserve"> or section 59 payment, which is 2.4% of the sector.</w:t>
      </w:r>
    </w:p>
    <w:p w14:paraId="31F27191" w14:textId="25C23DA2" w:rsidR="00952858" w:rsidRDefault="00952858" w:rsidP="00657C02">
      <w:pPr>
        <w:pStyle w:val="Heading3"/>
      </w:pPr>
      <w:r>
        <w:t>Top 3 qualifications for all employees</w:t>
      </w:r>
    </w:p>
    <w:p w14:paraId="04689C9B" w14:textId="564DFCFE" w:rsidR="00952858" w:rsidRDefault="00A706EE" w:rsidP="00A706EE">
      <w:pPr>
        <w:pStyle w:val="ListParagraph"/>
        <w:numPr>
          <w:ilvl w:val="0"/>
          <w:numId w:val="27"/>
        </w:numPr>
      </w:pPr>
      <w:r>
        <w:t>Teaching, lecturing, training, vocational support</w:t>
      </w:r>
    </w:p>
    <w:p w14:paraId="65062E8B" w14:textId="69BDDDD5" w:rsidR="00A706EE" w:rsidRDefault="00A706EE" w:rsidP="00A706EE">
      <w:pPr>
        <w:pStyle w:val="ListParagraph"/>
        <w:numPr>
          <w:ilvl w:val="0"/>
          <w:numId w:val="27"/>
        </w:numPr>
      </w:pPr>
      <w:r>
        <w:t>Business administration and management</w:t>
      </w:r>
    </w:p>
    <w:p w14:paraId="09BF2276" w14:textId="7020DB16" w:rsidR="00A706EE" w:rsidRDefault="00A706EE" w:rsidP="00A706EE">
      <w:pPr>
        <w:pStyle w:val="ListParagraph"/>
        <w:numPr>
          <w:ilvl w:val="0"/>
          <w:numId w:val="27"/>
        </w:numPr>
      </w:pPr>
      <w:r>
        <w:t>Science</w:t>
      </w:r>
      <w:r w:rsidR="00C27864">
        <w:t>.</w:t>
      </w:r>
    </w:p>
    <w:p w14:paraId="1CE4B5E3" w14:textId="3A6B7EC4" w:rsidR="00A706EE" w:rsidRDefault="00761BB2" w:rsidP="00F44DF0">
      <w:pPr>
        <w:pStyle w:val="Heading2"/>
      </w:pPr>
      <w:r>
        <w:t>Flexible work</w:t>
      </w:r>
    </w:p>
    <w:p w14:paraId="7A6F58DB" w14:textId="5928C286" w:rsidR="00761BB2" w:rsidRDefault="009479A9" w:rsidP="00861C9A">
      <w:r>
        <w:t>22,3</w:t>
      </w:r>
      <w:r w:rsidR="00C27864">
        <w:t>5</w:t>
      </w:r>
      <w:r>
        <w:t>1 employees were approved for flexible working in the last 12 months, which is 47.4% of the sector.</w:t>
      </w:r>
    </w:p>
    <w:p w14:paraId="77DE0D23" w14:textId="791F3C36" w:rsidR="009479A9" w:rsidRDefault="0075130F" w:rsidP="00861C9A">
      <w:r>
        <w:t>The most common number of days employees</w:t>
      </w:r>
      <w:r w:rsidR="00854DEB">
        <w:t xml:space="preserve"> spent working from home per week is one.</w:t>
      </w:r>
    </w:p>
    <w:p w14:paraId="6339D961" w14:textId="615F95A7" w:rsidR="00E92380" w:rsidRDefault="00E92380" w:rsidP="00657C02">
      <w:pPr>
        <w:pStyle w:val="Heading3"/>
      </w:pPr>
      <w:r>
        <w:t>Gender breakdown</w:t>
      </w:r>
    </w:p>
    <w:p w14:paraId="7EFE5770" w14:textId="4163FA14" w:rsidR="00E92380" w:rsidRDefault="0065187E" w:rsidP="00861C9A">
      <w:r>
        <w:t>17,065</w:t>
      </w:r>
      <w:r w:rsidR="00E92380">
        <w:t xml:space="preserve"> female employees, which is </w:t>
      </w:r>
      <w:r>
        <w:t>55</w:t>
      </w:r>
      <w:r w:rsidR="00E92380">
        <w:t>.</w:t>
      </w:r>
      <w:r>
        <w:t>7</w:t>
      </w:r>
      <w:r w:rsidR="00E92380">
        <w:t xml:space="preserve">% of </w:t>
      </w:r>
      <w:r w:rsidR="00C27864">
        <w:t xml:space="preserve">all </w:t>
      </w:r>
      <w:r w:rsidR="00E92380">
        <w:t>female</w:t>
      </w:r>
      <w:r w:rsidR="00C27864">
        <w:t xml:space="preserve"> employee</w:t>
      </w:r>
      <w:r w:rsidR="00E92380">
        <w:t xml:space="preserve">s, </w:t>
      </w:r>
      <w:r w:rsidR="00964001">
        <w:t>received approval for flexible working.</w:t>
      </w:r>
    </w:p>
    <w:p w14:paraId="2F27B17A" w14:textId="5BB50BB3" w:rsidR="00964001" w:rsidRDefault="00F50FE0" w:rsidP="00861C9A">
      <w:r>
        <w:t>6,600</w:t>
      </w:r>
      <w:r w:rsidR="00964001">
        <w:t xml:space="preserve"> male employees, which is </w:t>
      </w:r>
      <w:r>
        <w:t>42</w:t>
      </w:r>
      <w:r w:rsidR="00964001">
        <w:t>.</w:t>
      </w:r>
      <w:r>
        <w:t>8</w:t>
      </w:r>
      <w:r w:rsidR="00964001">
        <w:t xml:space="preserve">% of </w:t>
      </w:r>
      <w:r w:rsidR="00C27864">
        <w:t xml:space="preserve">all </w:t>
      </w:r>
      <w:r w:rsidR="00964001">
        <w:t>male</w:t>
      </w:r>
      <w:r w:rsidR="00C27864">
        <w:t xml:space="preserve"> employee</w:t>
      </w:r>
      <w:r w:rsidR="00964001">
        <w:t>s, received approval for flexible working.</w:t>
      </w:r>
    </w:p>
    <w:p w14:paraId="198D55A6" w14:textId="77777777" w:rsidR="008C7B74" w:rsidRDefault="008C7B74">
      <w:pPr>
        <w:spacing w:after="160"/>
        <w:rPr>
          <w:rStyle w:val="Heading1Char"/>
          <w:szCs w:val="36"/>
        </w:rPr>
      </w:pPr>
      <w:r>
        <w:rPr>
          <w:rStyle w:val="Heading1Char"/>
          <w:szCs w:val="36"/>
        </w:rPr>
        <w:br w:type="page"/>
      </w:r>
    </w:p>
    <w:p w14:paraId="7DD1EEC0" w14:textId="31BC22BC" w:rsidR="00014E55" w:rsidRPr="00E67942" w:rsidRDefault="00014E55" w:rsidP="00E67942">
      <w:pPr>
        <w:rPr>
          <w:rFonts w:eastAsiaTheme="majorEastAsia" w:cstheme="majorBidi"/>
          <w:b/>
          <w:sz w:val="44"/>
          <w:szCs w:val="36"/>
        </w:rPr>
      </w:pPr>
      <w:r w:rsidRPr="00E67942">
        <w:rPr>
          <w:rStyle w:val="Heading1Char"/>
          <w:szCs w:val="36"/>
        </w:rPr>
        <w:lastRenderedPageBreak/>
        <w:t>Diversity</w:t>
      </w:r>
    </w:p>
    <w:p w14:paraId="2DFFA5D0" w14:textId="79C12CD0" w:rsidR="00014E55" w:rsidRDefault="00014E55" w:rsidP="00014E55">
      <w:r w:rsidRPr="00E67942">
        <w:t xml:space="preserve">Insights about the mix and differences of our employees based on </w:t>
      </w:r>
      <w:proofErr w:type="spellStart"/>
      <w:r w:rsidRPr="00E67942">
        <w:t>self identification</w:t>
      </w:r>
      <w:proofErr w:type="spellEnd"/>
      <w:r w:rsidRPr="00E67942">
        <w:t>. This covers culture, Aboriginal and or Torres Strait Islander background, disability, sexual orientation, gender identity and sex characteristics.</w:t>
      </w:r>
    </w:p>
    <w:p w14:paraId="309BE33B" w14:textId="7AB7DA81" w:rsidR="00A21141" w:rsidRDefault="00A21141" w:rsidP="00E67942">
      <w:pPr>
        <w:pStyle w:val="Heading2"/>
      </w:pPr>
      <w:r>
        <w:t>Cultural Diversity</w:t>
      </w:r>
    </w:p>
    <w:p w14:paraId="13413D29" w14:textId="41F6C8A5" w:rsidR="00A21141" w:rsidRDefault="00A21141" w:rsidP="00A21141">
      <w:r w:rsidRPr="00E67942">
        <w:t>Cultural diversity means having a mix of employees from different cultural backgrounds and covers many elements</w:t>
      </w:r>
      <w:r>
        <w:t>.</w:t>
      </w:r>
    </w:p>
    <w:p w14:paraId="753C8E3D" w14:textId="39784070" w:rsidR="00E91576" w:rsidRPr="00A21141" w:rsidRDefault="00E91576" w:rsidP="00657C02">
      <w:pPr>
        <w:pStyle w:val="Heading3"/>
      </w:pPr>
      <w:r>
        <w:t>Core measures</w:t>
      </w:r>
    </w:p>
    <w:p w14:paraId="1527BD86" w14:textId="3B94B2A6" w:rsidR="00783DBC" w:rsidRDefault="00E91576" w:rsidP="00861C9A">
      <w:r w:rsidRPr="00E67942">
        <w:t xml:space="preserve">The core measures, made up of objective and subjective aspects, include different cultural backgrounds counted by country of birth outside of Australia, cultural identity counted by </w:t>
      </w:r>
      <w:proofErr w:type="spellStart"/>
      <w:r w:rsidRPr="00E67942">
        <w:t>self identification</w:t>
      </w:r>
      <w:proofErr w:type="spellEnd"/>
      <w:r w:rsidRPr="00E67942">
        <w:t xml:space="preserve"> and languages spoken other than English. This is guided by the Diversity Council Australia and the Australian Bureau of Statistics approach.</w:t>
      </w:r>
    </w:p>
    <w:p w14:paraId="6C8D8278" w14:textId="370AD00C" w:rsidR="00E91576" w:rsidRDefault="00C76CCD" w:rsidP="00861C9A">
      <w:r>
        <w:t xml:space="preserve">19,783 employees </w:t>
      </w:r>
      <w:r w:rsidR="00E91576">
        <w:t>responded to one or more core measures</w:t>
      </w:r>
      <w:r w:rsidR="00270162">
        <w:t>, or 39.0% of the sector.</w:t>
      </w:r>
    </w:p>
    <w:p w14:paraId="066651AC" w14:textId="4A9E606E" w:rsidR="00270162" w:rsidRDefault="00270162" w:rsidP="00861C9A">
      <w:r w:rsidRPr="00E67942">
        <w:t xml:space="preserve">The Census provides a broader picture of cultural diversity using </w:t>
      </w:r>
      <w:r w:rsidRPr="00270162">
        <w:t>self-identification</w:t>
      </w:r>
      <w:r w:rsidRPr="00E67942">
        <w:t>, country of birth outside of Australia and fluency in a language other than English. When compared to March 2023 payroll data, only 16.5%</w:t>
      </w:r>
      <w:r w:rsidR="000C658B">
        <w:t xml:space="preserve"> of the sector</w:t>
      </w:r>
      <w:r w:rsidRPr="00E67942">
        <w:t xml:space="preserve"> </w:t>
      </w:r>
      <w:r>
        <w:t>or 19,166 employees</w:t>
      </w:r>
      <w:r w:rsidRPr="00E67942">
        <w:t xml:space="preserve"> were reported as</w:t>
      </w:r>
      <w:r>
        <w:t xml:space="preserve"> culturally and linguistically diverse</w:t>
      </w:r>
      <w:r w:rsidRPr="00E67942">
        <w:t>.</w:t>
      </w:r>
      <w:r w:rsidR="00FD650C">
        <w:t xml:space="preserve"> Note: </w:t>
      </w:r>
      <w:r w:rsidR="0088286E">
        <w:t>payroll is b</w:t>
      </w:r>
      <w:r w:rsidR="00FD650C" w:rsidRPr="00FD650C">
        <w:t xml:space="preserve">ased on one measure of </w:t>
      </w:r>
      <w:r w:rsidR="0088286E">
        <w:t>Culturally and linguistically diverse only and</w:t>
      </w:r>
      <w:r w:rsidR="00FD650C" w:rsidRPr="00FD650C">
        <w:t xml:space="preserve"> is defined as those born outside of Australia, Canada, England, New Zealand, Northern Ireland, Republic of Ireland, Scotland, South Africa, United Kingdom, United States of </w:t>
      </w:r>
      <w:proofErr w:type="gramStart"/>
      <w:r w:rsidR="00FD650C" w:rsidRPr="00FD650C">
        <w:t>America</w:t>
      </w:r>
      <w:proofErr w:type="gramEnd"/>
      <w:r w:rsidR="00FD650C" w:rsidRPr="00FD650C">
        <w:t xml:space="preserve"> and Wales.</w:t>
      </w:r>
    </w:p>
    <w:p w14:paraId="50592C9A" w14:textId="77777777" w:rsidR="0016779C" w:rsidRDefault="0016779C" w:rsidP="00861C9A">
      <w:pPr>
        <w:pStyle w:val="Heading4"/>
      </w:pPr>
      <w:r>
        <w:t>Self-identification</w:t>
      </w:r>
    </w:p>
    <w:p w14:paraId="3EB3017A" w14:textId="0E674D12" w:rsidR="00270162" w:rsidRDefault="00270162" w:rsidP="00861C9A">
      <w:r w:rsidRPr="00E67942">
        <w:t xml:space="preserve">Of the </w:t>
      </w:r>
      <w:r>
        <w:t>6,902</w:t>
      </w:r>
      <w:r w:rsidRPr="00E67942">
        <w:t xml:space="preserve"> employees</w:t>
      </w:r>
      <w:r w:rsidR="000C658B">
        <w:t xml:space="preserve"> or 14.6% of the sector</w:t>
      </w:r>
      <w:r w:rsidRPr="00E67942">
        <w:t xml:space="preserve"> that identified as </w:t>
      </w:r>
      <w:r w:rsidR="0088286E">
        <w:t>Culturally and linguistically diverse</w:t>
      </w:r>
      <w:r w:rsidRPr="00E67942">
        <w:t xml:space="preserve"> in the Census, over half </w:t>
      </w:r>
      <w:r w:rsidR="000C658B">
        <w:t xml:space="preserve">or 3,901 employees </w:t>
      </w:r>
      <w:r w:rsidR="0012081F">
        <w:t>are</w:t>
      </w:r>
      <w:r w:rsidRPr="00E67942">
        <w:t xml:space="preserve"> born in countries that aren’t counted as </w:t>
      </w:r>
      <w:r w:rsidR="0088286E">
        <w:t>Culturally and linguistically diverse</w:t>
      </w:r>
      <w:r w:rsidRPr="00E67942">
        <w:t xml:space="preserve"> under the existing payroll reporting.</w:t>
      </w:r>
    </w:p>
    <w:p w14:paraId="0D5A616D" w14:textId="73319C9C" w:rsidR="00F85C02" w:rsidRDefault="00025BBD" w:rsidP="00861C9A">
      <w:pPr>
        <w:pStyle w:val="Heading4"/>
      </w:pPr>
      <w:r>
        <w:t xml:space="preserve">Top 3 </w:t>
      </w:r>
      <w:r w:rsidR="00A013BD">
        <w:t>countries of birth</w:t>
      </w:r>
    </w:p>
    <w:p w14:paraId="4A61228B" w14:textId="2EAE0764" w:rsidR="0012081F" w:rsidRDefault="0012081F" w:rsidP="00861C9A">
      <w:r>
        <w:t xml:space="preserve">15,860 employees were born outside of Australia, which is 33.7% of the sector. The top 3 countries they are born in are England, </w:t>
      </w:r>
      <w:proofErr w:type="gramStart"/>
      <w:r>
        <w:t>India</w:t>
      </w:r>
      <w:proofErr w:type="gramEnd"/>
      <w:r>
        <w:t xml:space="preserve"> and New Zealand.</w:t>
      </w:r>
    </w:p>
    <w:p w14:paraId="58097E22" w14:textId="60D89275" w:rsidR="00F85C02" w:rsidRDefault="004C6F7E" w:rsidP="00861C9A">
      <w:pPr>
        <w:pStyle w:val="Heading4"/>
      </w:pPr>
      <w:r>
        <w:t>Top 3 languages</w:t>
      </w:r>
    </w:p>
    <w:p w14:paraId="59AD7FA2" w14:textId="26711234" w:rsidR="0012081F" w:rsidRDefault="0012081F" w:rsidP="00861C9A">
      <w:r>
        <w:t>9,828 employees are fluent in a language other than English, which is 20.9% of the sector. The top 3 languages they speak are Hindi, French and Mandarin</w:t>
      </w:r>
      <w:r w:rsidR="00D22BB2">
        <w:t xml:space="preserve"> Chinese.</w:t>
      </w:r>
    </w:p>
    <w:p w14:paraId="1FFCB3B7" w14:textId="025A9B3C" w:rsidR="00CE04D7" w:rsidRDefault="00CE04D7" w:rsidP="00976D6D">
      <w:pPr>
        <w:pStyle w:val="Heading3"/>
      </w:pPr>
      <w:r>
        <w:t>Additional measure</w:t>
      </w:r>
    </w:p>
    <w:p w14:paraId="21DDAFD1" w14:textId="52A50B54" w:rsidR="00CE04D7" w:rsidRDefault="00CE04D7" w:rsidP="00861C9A">
      <w:r>
        <w:t xml:space="preserve">An additional measure </w:t>
      </w:r>
      <w:r w:rsidR="0088286E">
        <w:t xml:space="preserve">of cultural and linguistic diversity </w:t>
      </w:r>
      <w:r>
        <w:t>includes global experience, which is a cultural capability of an individual and the agency.</w:t>
      </w:r>
    </w:p>
    <w:p w14:paraId="7E3366A2" w14:textId="77777777" w:rsidR="00DD6AC2" w:rsidRPr="00E67942" w:rsidRDefault="00DD6AC2" w:rsidP="00861C9A">
      <w:r w:rsidRPr="00E67942">
        <w:t>The Census asked whether employees lived in a country other than Australia for more than 6 months, travelling, studying, working, volunteering.</w:t>
      </w:r>
    </w:p>
    <w:p w14:paraId="552239AF" w14:textId="14F55A01" w:rsidR="00DD6AC2" w:rsidRPr="00CE04D7" w:rsidRDefault="00DD6AC2" w:rsidP="00861C9A">
      <w:r w:rsidRPr="00E67942">
        <w:t>The time taken for expatriate adjustment varies, however within 6 to 12 months after arriving they grow accustomed to their new home and the customs of the host country</w:t>
      </w:r>
      <w:r>
        <w:rPr>
          <w:sz w:val="18"/>
          <w:szCs w:val="18"/>
        </w:rPr>
        <w:t>.</w:t>
      </w:r>
    </w:p>
    <w:p w14:paraId="1578F772" w14:textId="31534039" w:rsidR="00D22BB2" w:rsidRDefault="00DD6AC2" w:rsidP="00270162">
      <w:r>
        <w:lastRenderedPageBreak/>
        <w:t>19,429 employees responded that they had global experience, which comprises 41.2% of the sector.</w:t>
      </w:r>
    </w:p>
    <w:p w14:paraId="413E1C62" w14:textId="71DBD213" w:rsidR="00DD6AC2" w:rsidRPr="00DD6AC2" w:rsidRDefault="00DD6AC2" w:rsidP="00DD6AC2">
      <w:r>
        <w:t>I</w:t>
      </w:r>
      <w:r w:rsidRPr="00E67942">
        <w:t xml:space="preserve">nsights about the mix and differences of our employees based on </w:t>
      </w:r>
      <w:proofErr w:type="spellStart"/>
      <w:r w:rsidRPr="00E67942">
        <w:t>self identification</w:t>
      </w:r>
      <w:proofErr w:type="spellEnd"/>
      <w:r w:rsidRPr="00E67942">
        <w:t>. This covers culture, Aboriginal and or Torres Strait Islander background, disability, sexual orientation, gender identity and sex characteristics.</w:t>
      </w:r>
    </w:p>
    <w:p w14:paraId="64849AC4" w14:textId="7B4F5433" w:rsidR="00DD6AC2" w:rsidRDefault="00DD6AC2" w:rsidP="00DD6AC2">
      <w:pPr>
        <w:pStyle w:val="Heading2"/>
      </w:pPr>
      <w:r>
        <w:t>Aboriginal and Torres Strait Islander People</w:t>
      </w:r>
    </w:p>
    <w:p w14:paraId="55F6CA62" w14:textId="3FEE7C39" w:rsidR="00DD6AC2" w:rsidRDefault="00DD6AC2" w:rsidP="00DD6AC2">
      <w:r w:rsidRPr="00E67942">
        <w:t xml:space="preserve">We </w:t>
      </w:r>
      <w:proofErr w:type="spellStart"/>
      <w:r w:rsidRPr="00E67942">
        <w:t>recognise</w:t>
      </w:r>
      <w:proofErr w:type="spellEnd"/>
      <w:r w:rsidRPr="00E67942">
        <w:t xml:space="preserve"> the unique position of Aboriginal and Torres Strait Islander people as First Nations in Australia, while also acknowledging that they may have additional cultural backgrounds.</w:t>
      </w:r>
    </w:p>
    <w:p w14:paraId="2690876F" w14:textId="69757607" w:rsidR="0039620C" w:rsidRDefault="0039620C" w:rsidP="0088286E">
      <w:pPr>
        <w:pStyle w:val="Heading3"/>
      </w:pPr>
      <w:r>
        <w:t>Number of Aboriginal and Torres Strait Islander people</w:t>
      </w:r>
    </w:p>
    <w:p w14:paraId="4FB3086E" w14:textId="77777777" w:rsidR="0088286E" w:rsidRDefault="0088286E" w:rsidP="00861C9A">
      <w:pPr>
        <w:pStyle w:val="Heading4"/>
        <w:spacing w:before="0"/>
      </w:pPr>
      <w:r>
        <w:t>Census data</w:t>
      </w:r>
    </w:p>
    <w:p w14:paraId="1801A4B7" w14:textId="0ACD9115" w:rsidR="0039620C" w:rsidRDefault="0039620C" w:rsidP="00861C9A">
      <w:r>
        <w:t>1,077 employees identify as Aboriginal and</w:t>
      </w:r>
      <w:r w:rsidR="00811E66">
        <w:t xml:space="preserve"> </w:t>
      </w:r>
      <w:r>
        <w:t>or Torres Strait Islander, which is 2.3% of the sector.</w:t>
      </w:r>
    </w:p>
    <w:p w14:paraId="18986906" w14:textId="3A7F1455" w:rsidR="0039620C" w:rsidRPr="0039620C" w:rsidRDefault="0039620C" w:rsidP="00861C9A">
      <w:r>
        <w:t xml:space="preserve">513 </w:t>
      </w:r>
      <w:r w:rsidR="0088286E">
        <w:t>metropolitan</w:t>
      </w:r>
      <w:r>
        <w:t xml:space="preserve"> employees identify as Aboriginal and</w:t>
      </w:r>
      <w:r w:rsidR="00811E66">
        <w:t xml:space="preserve"> </w:t>
      </w:r>
      <w:r>
        <w:t xml:space="preserve">or Torres Strait Islander, which is 1.6% of </w:t>
      </w:r>
      <w:r w:rsidR="0088286E">
        <w:t>metropolitan</w:t>
      </w:r>
      <w:r>
        <w:t xml:space="preserve"> employees.</w:t>
      </w:r>
    </w:p>
    <w:p w14:paraId="53CA9C8A" w14:textId="69E1066C" w:rsidR="0039620C" w:rsidRDefault="0039620C" w:rsidP="00861C9A">
      <w:r>
        <w:t xml:space="preserve">373 </w:t>
      </w:r>
      <w:r w:rsidR="002E3694">
        <w:t>regional</w:t>
      </w:r>
      <w:r>
        <w:t xml:space="preserve"> employees identify as Aboriginal and</w:t>
      </w:r>
      <w:r w:rsidR="00811E66">
        <w:t xml:space="preserve"> </w:t>
      </w:r>
      <w:r>
        <w:t>or Torres Strait Islander, which is 4.6% of regional employees.</w:t>
      </w:r>
    </w:p>
    <w:p w14:paraId="34D6E3B1" w14:textId="04F2A391" w:rsidR="00E14AE9" w:rsidRDefault="00E14AE9" w:rsidP="00861C9A">
      <w:pPr>
        <w:pStyle w:val="Heading4"/>
        <w:spacing w:before="0"/>
      </w:pPr>
      <w:r>
        <w:t>Payroll data</w:t>
      </w:r>
    </w:p>
    <w:p w14:paraId="4C0CBE7F" w14:textId="0235B842" w:rsidR="00E14AE9" w:rsidRDefault="002E3694" w:rsidP="00861C9A">
      <w:r>
        <w:t>3,652</w:t>
      </w:r>
      <w:r w:rsidR="00E14AE9">
        <w:t xml:space="preserve"> employees identify as Aboriginal and</w:t>
      </w:r>
      <w:r w:rsidR="00811E66">
        <w:t xml:space="preserve"> </w:t>
      </w:r>
      <w:r w:rsidR="00E14AE9">
        <w:t>or Torres Strait Islander, which is 2.</w:t>
      </w:r>
      <w:r>
        <w:t>8</w:t>
      </w:r>
      <w:r w:rsidR="00E14AE9">
        <w:t>% of the sector.</w:t>
      </w:r>
    </w:p>
    <w:p w14:paraId="1FF4EDF9" w14:textId="79554BBA" w:rsidR="00E14AE9" w:rsidRPr="0039620C" w:rsidRDefault="002E3694" w:rsidP="00861C9A">
      <w:r>
        <w:t>1,736</w:t>
      </w:r>
      <w:r w:rsidR="00E14AE9">
        <w:t xml:space="preserve"> </w:t>
      </w:r>
      <w:r w:rsidR="0088286E">
        <w:t>metropolitan</w:t>
      </w:r>
      <w:r w:rsidR="00E14AE9">
        <w:t xml:space="preserve"> employees identify as Aboriginal and</w:t>
      </w:r>
      <w:r w:rsidR="00811E66">
        <w:t xml:space="preserve"> </w:t>
      </w:r>
      <w:r w:rsidR="00E14AE9">
        <w:t>or Torres Strait Islander, which is 1.</w:t>
      </w:r>
      <w:r>
        <w:t>7</w:t>
      </w:r>
      <w:r w:rsidR="00E14AE9">
        <w:t xml:space="preserve">% of </w:t>
      </w:r>
      <w:r w:rsidR="0088286E">
        <w:t>metropolitan</w:t>
      </w:r>
      <w:r w:rsidR="00E14AE9">
        <w:t xml:space="preserve"> employees.</w:t>
      </w:r>
    </w:p>
    <w:p w14:paraId="125A2926" w14:textId="398E999C" w:rsidR="00E14AE9" w:rsidRPr="0039620C" w:rsidRDefault="002E3694" w:rsidP="00861C9A">
      <w:r>
        <w:t>1,916</w:t>
      </w:r>
      <w:r w:rsidR="00E14AE9">
        <w:t xml:space="preserve"> </w:t>
      </w:r>
      <w:r>
        <w:t xml:space="preserve">regional </w:t>
      </w:r>
      <w:r w:rsidR="00E14AE9">
        <w:t>employees identify as Aboriginal and</w:t>
      </w:r>
      <w:r w:rsidR="00811E66">
        <w:t xml:space="preserve"> </w:t>
      </w:r>
      <w:r w:rsidR="00E14AE9">
        <w:t xml:space="preserve">or Torres Strait Islander, which is </w:t>
      </w:r>
      <w:r>
        <w:t>6.2</w:t>
      </w:r>
      <w:r w:rsidR="00E14AE9">
        <w:t>% of regional employees.</w:t>
      </w:r>
    </w:p>
    <w:p w14:paraId="297FED34" w14:textId="2FBF7B06" w:rsidR="002E3694" w:rsidRDefault="002E3694" w:rsidP="002E3694">
      <w:pPr>
        <w:pStyle w:val="Heading2"/>
      </w:pPr>
      <w:r>
        <w:t xml:space="preserve">Disability and </w:t>
      </w:r>
      <w:proofErr w:type="gramStart"/>
      <w:r>
        <w:t>Long Term</w:t>
      </w:r>
      <w:proofErr w:type="gramEnd"/>
      <w:r>
        <w:t xml:space="preserve"> Health Condition</w:t>
      </w:r>
    </w:p>
    <w:p w14:paraId="269C3993" w14:textId="77777777" w:rsidR="00DC1190" w:rsidRPr="00E67942" w:rsidRDefault="00DC1190" w:rsidP="00861C9A">
      <w:r w:rsidRPr="00E67942">
        <w:t>Employees showed a willingness and openness to share personal information. This resulted in higher disclosure rates for disability.</w:t>
      </w:r>
    </w:p>
    <w:p w14:paraId="15ACA0B9" w14:textId="4B09FC01" w:rsidR="00E14AE9" w:rsidRDefault="00DC1190" w:rsidP="00861C9A">
      <w:r w:rsidRPr="00E67942">
        <w:t xml:space="preserve">The Census showed </w:t>
      </w:r>
      <w:r w:rsidR="00B038B0">
        <w:t>1,266 employees or 2.7% of the sector</w:t>
      </w:r>
      <w:r w:rsidRPr="00E67942">
        <w:t xml:space="preserve"> identifying as a person with disability, or both disability and long-term health condition, when compared</w:t>
      </w:r>
      <w:r w:rsidR="00B038B0">
        <w:t xml:space="preserve"> </w:t>
      </w:r>
      <w:r w:rsidRPr="00E67942">
        <w:t xml:space="preserve">to payroll data which shows </w:t>
      </w:r>
      <w:r w:rsidR="00B038B0">
        <w:t xml:space="preserve">1,930 employees, which is </w:t>
      </w:r>
      <w:r w:rsidRPr="00E67942">
        <w:t xml:space="preserve">1.6% </w:t>
      </w:r>
      <w:r w:rsidR="00B038B0">
        <w:t>of the sector.</w:t>
      </w:r>
    </w:p>
    <w:p w14:paraId="0C112DDF" w14:textId="77777777" w:rsidR="00442540" w:rsidRDefault="00B038B0" w:rsidP="00861C9A">
      <w:r>
        <w:t>837 employees, which is 1.8% of the sector, identified as a person with disability.</w:t>
      </w:r>
    </w:p>
    <w:p w14:paraId="64552F84" w14:textId="4BF2D362" w:rsidR="00442540" w:rsidRDefault="00442540" w:rsidP="00861C9A">
      <w:r>
        <w:t>3,669 employees, which is 7.8% of the sector, identified as having a long-term health condition.</w:t>
      </w:r>
    </w:p>
    <w:p w14:paraId="20D8C2D7" w14:textId="73AD6BCC" w:rsidR="00B038B0" w:rsidRDefault="00B038B0" w:rsidP="00861C9A">
      <w:r>
        <w:t>429 employees, which is 0.9% of the sector, identified as having both disability and a long-term health condition.</w:t>
      </w:r>
    </w:p>
    <w:p w14:paraId="32219DDC" w14:textId="66D8E617" w:rsidR="00442540" w:rsidRDefault="00442540" w:rsidP="00861C9A">
      <w:r>
        <w:t xml:space="preserve">4,645 employees, which is 9.9% of the sector, </w:t>
      </w:r>
      <w:r w:rsidRPr="00E67942">
        <w:t>have caring responsibilities for a person with disability or a long-term health condition</w:t>
      </w:r>
      <w:r w:rsidR="00D6776C">
        <w:t>.</w:t>
      </w:r>
    </w:p>
    <w:p w14:paraId="1244C801" w14:textId="32E0737D" w:rsidR="00442540" w:rsidRDefault="00442540" w:rsidP="00442540">
      <w:pPr>
        <w:pStyle w:val="Heading2"/>
      </w:pPr>
      <w:r>
        <w:lastRenderedPageBreak/>
        <w:t>Diverse Gender Identities, Sexual Orientation, Sex Characteristics</w:t>
      </w:r>
    </w:p>
    <w:p w14:paraId="6B72B8F0" w14:textId="307FD1E0" w:rsidR="00442540" w:rsidRDefault="00D6776C" w:rsidP="00861C9A">
      <w:r>
        <w:t>2,511 employees, which is 5.3% of the sector, identified as a person with diverse sexual orientation</w:t>
      </w:r>
      <w:r w:rsidR="002B3D5C">
        <w:t>.</w:t>
      </w:r>
    </w:p>
    <w:p w14:paraId="630EB82B" w14:textId="20052D48" w:rsidR="00BD6929" w:rsidRDefault="00BD6929" w:rsidP="00861C9A">
      <w:r>
        <w:t>337 employees, which is 0.7% of the sector, identified as a person with diverse gender identities</w:t>
      </w:r>
      <w:r w:rsidR="002B3D5C">
        <w:t>.</w:t>
      </w:r>
    </w:p>
    <w:p w14:paraId="38645E2C" w14:textId="39F1F956" w:rsidR="00442540" w:rsidRDefault="00BD6929" w:rsidP="00861C9A">
      <w:r>
        <w:t>47 employees, which is 0.1% of the sector, identified as a person with diverse sex characteristics</w:t>
      </w:r>
      <w:r w:rsidR="002B3D5C">
        <w:t>.</w:t>
      </w:r>
    </w:p>
    <w:p w14:paraId="7B3F9CAE" w14:textId="6066CE72" w:rsidR="00BD6929" w:rsidRPr="00442540" w:rsidRDefault="00BD6929" w:rsidP="00BD6929">
      <w:pPr>
        <w:pStyle w:val="Heading2"/>
      </w:pPr>
      <w:r>
        <w:t>Caring Responsibilities</w:t>
      </w:r>
    </w:p>
    <w:p w14:paraId="51E20405" w14:textId="5B9F1533" w:rsidR="00442540" w:rsidRDefault="00442540" w:rsidP="00861C9A">
      <w:r>
        <w:t xml:space="preserve">26,948 employees, which is 57.2% of the sector, </w:t>
      </w:r>
      <w:r w:rsidRPr="00253B19">
        <w:t>have caring responsibilities</w:t>
      </w:r>
      <w:r>
        <w:t xml:space="preserve"> outside of work</w:t>
      </w:r>
      <w:r w:rsidR="00E2005F">
        <w:t>.</w:t>
      </w:r>
    </w:p>
    <w:p w14:paraId="47058ABC" w14:textId="3CE73F41" w:rsidR="00BD6929" w:rsidRDefault="00BB0264" w:rsidP="00861C9A">
      <w:r>
        <w:t xml:space="preserve">17,861 females, which is 58.3% of all females, </w:t>
      </w:r>
      <w:r w:rsidRPr="00253B19">
        <w:t>have caring responsibilities</w:t>
      </w:r>
      <w:r>
        <w:t xml:space="preserve"> outside of work</w:t>
      </w:r>
      <w:r w:rsidR="00E2005F">
        <w:t>.</w:t>
      </w:r>
    </w:p>
    <w:p w14:paraId="2CA2E96A" w14:textId="608D8CDB" w:rsidR="00BB0264" w:rsidRPr="00442540" w:rsidRDefault="00BB0264" w:rsidP="00861C9A">
      <w:r>
        <w:t xml:space="preserve">8,468 males, which is 54.9% of all males, </w:t>
      </w:r>
      <w:r w:rsidRPr="00253B19">
        <w:t>have caring responsibilities</w:t>
      </w:r>
      <w:r>
        <w:t xml:space="preserve"> outside of work</w:t>
      </w:r>
      <w:r w:rsidR="00E2005F">
        <w:t>.</w:t>
      </w:r>
    </w:p>
    <w:p w14:paraId="1C58189D" w14:textId="77777777" w:rsidR="008C7B74" w:rsidRDefault="008C7B74">
      <w:pPr>
        <w:spacing w:after="160"/>
        <w:rPr>
          <w:rFonts w:ascii="Century Gothic" w:eastAsiaTheme="majorEastAsia" w:hAnsi="Century Gothic" w:cstheme="majorBidi"/>
          <w:b/>
          <w:sz w:val="44"/>
          <w:szCs w:val="32"/>
          <w:lang w:val="en-AU"/>
        </w:rPr>
      </w:pPr>
      <w:r>
        <w:br w:type="page"/>
      </w:r>
    </w:p>
    <w:p w14:paraId="7539BB53" w14:textId="5C2897E5" w:rsidR="00C57370" w:rsidRPr="00C27AEC" w:rsidRDefault="00C57370" w:rsidP="00C57370">
      <w:pPr>
        <w:pStyle w:val="Heading1"/>
      </w:pPr>
      <w:r w:rsidRPr="00C27AEC">
        <w:lastRenderedPageBreak/>
        <w:t>Safe to Share</w:t>
      </w:r>
    </w:p>
    <w:p w14:paraId="502417F9" w14:textId="42DDB10B" w:rsidR="00C57370" w:rsidRPr="00506544" w:rsidRDefault="00B71B0D" w:rsidP="00E67942">
      <w:r w:rsidRPr="00E67942">
        <w:t xml:space="preserve">Insights about an employee’s willingness to share their diversity with their agency, and if not, why not. Insights into employee’s sharing </w:t>
      </w:r>
      <w:proofErr w:type="spellStart"/>
      <w:r w:rsidRPr="00E67942">
        <w:t>behaviour</w:t>
      </w:r>
      <w:proofErr w:type="spellEnd"/>
      <w:r w:rsidRPr="00E67942">
        <w:t xml:space="preserve"> of integrity matters with their agency and the reasons for not reporting.</w:t>
      </w:r>
    </w:p>
    <w:p w14:paraId="5335C117" w14:textId="2D480DC1" w:rsidR="009C7ADE" w:rsidRDefault="00D166B0" w:rsidP="00EE4CE5">
      <w:pPr>
        <w:pStyle w:val="Heading2"/>
      </w:pPr>
      <w:r>
        <w:t xml:space="preserve">Sharing </w:t>
      </w:r>
      <w:r w:rsidR="0044611D">
        <w:t>d</w:t>
      </w:r>
      <w:r>
        <w:t>iversity</w:t>
      </w:r>
    </w:p>
    <w:p w14:paraId="26B2F178" w14:textId="3B056F93" w:rsidR="00D166B0" w:rsidRDefault="00231CE2" w:rsidP="00231CE2">
      <w:r w:rsidRPr="00E67942">
        <w:t xml:space="preserve">The confidence of staff to give voice to their identities, experiences and concerns is a key indication of the level of workplace trust, psychological </w:t>
      </w:r>
      <w:proofErr w:type="gramStart"/>
      <w:r w:rsidRPr="00E67942">
        <w:t>safety</w:t>
      </w:r>
      <w:proofErr w:type="gramEnd"/>
      <w:r w:rsidRPr="00E67942">
        <w:t xml:space="preserve"> and inclusion.</w:t>
      </w:r>
    </w:p>
    <w:p w14:paraId="6D61F5C5" w14:textId="1C8E19EA" w:rsidR="00306B53" w:rsidRDefault="002C6F91" w:rsidP="00E67942">
      <w:pPr>
        <w:pStyle w:val="Heading3"/>
      </w:pPr>
      <w:r>
        <w:t>Aboriginal</w:t>
      </w:r>
      <w:r w:rsidR="00C26FB0">
        <w:t xml:space="preserve"> and Torres Strait Islander people</w:t>
      </w:r>
    </w:p>
    <w:p w14:paraId="6CAF4478" w14:textId="73F966FA" w:rsidR="00C26FB0" w:rsidRDefault="00290F48" w:rsidP="00CA33A4">
      <w:r>
        <w:t xml:space="preserve">912 employees, </w:t>
      </w:r>
      <w:r w:rsidR="00E64B1A">
        <w:t>which is</w:t>
      </w:r>
      <w:r>
        <w:t xml:space="preserve"> 84.9</w:t>
      </w:r>
      <w:r w:rsidR="003E791D">
        <w:t>% of people</w:t>
      </w:r>
      <w:r w:rsidR="003B7EAA">
        <w:t xml:space="preserve"> who answered that they identified as Aboriginal and</w:t>
      </w:r>
      <w:r w:rsidR="00811E66">
        <w:t xml:space="preserve"> </w:t>
      </w:r>
      <w:r w:rsidR="003B7EAA">
        <w:t xml:space="preserve">or Torres Strait Islander </w:t>
      </w:r>
      <w:r w:rsidR="00C0463F">
        <w:t>have shared this with their agency.</w:t>
      </w:r>
    </w:p>
    <w:p w14:paraId="72694F00" w14:textId="44205DDC" w:rsidR="00B27FB6" w:rsidRDefault="00C0463F" w:rsidP="00CA33A4">
      <w:r>
        <w:t xml:space="preserve">81 employees, </w:t>
      </w:r>
      <w:r w:rsidR="00E64B1A">
        <w:t xml:space="preserve">which is </w:t>
      </w:r>
      <w:r w:rsidR="00A7373F">
        <w:t>7.5</w:t>
      </w:r>
      <w:r>
        <w:t>% of people who answered that they identified as Aboriginal and</w:t>
      </w:r>
      <w:r w:rsidR="00811E66">
        <w:t xml:space="preserve"> </w:t>
      </w:r>
      <w:r>
        <w:t xml:space="preserve">or Torres Strait Islander have </w:t>
      </w:r>
      <w:r w:rsidR="00B27FB6">
        <w:t>not shared this with their agency.</w:t>
      </w:r>
    </w:p>
    <w:p w14:paraId="1FE3919F" w14:textId="3E7579A4" w:rsidR="00CA0A43" w:rsidRDefault="00CA0A43" w:rsidP="00E67942">
      <w:pPr>
        <w:pStyle w:val="Heading4"/>
      </w:pPr>
      <w:r>
        <w:t xml:space="preserve">Top 3 reasons </w:t>
      </w:r>
      <w:r w:rsidR="0088286E">
        <w:t xml:space="preserve">why they have </w:t>
      </w:r>
      <w:r>
        <w:t xml:space="preserve">not </w:t>
      </w:r>
      <w:proofErr w:type="gramStart"/>
      <w:r>
        <w:t>shar</w:t>
      </w:r>
      <w:r w:rsidR="0088286E">
        <w:t>ed</w:t>
      </w:r>
      <w:proofErr w:type="gramEnd"/>
    </w:p>
    <w:p w14:paraId="7574A005" w14:textId="17164570" w:rsidR="00CA0A43" w:rsidRDefault="00A72FFA" w:rsidP="00E67942">
      <w:pPr>
        <w:pStyle w:val="ListParagraph"/>
        <w:numPr>
          <w:ilvl w:val="0"/>
          <w:numId w:val="8"/>
        </w:numPr>
      </w:pPr>
      <w:r>
        <w:t>I may have to prove I’m an Aboriginal or Torres Strait Islander</w:t>
      </w:r>
    </w:p>
    <w:p w14:paraId="194FC2FD" w14:textId="51F8544D" w:rsidR="00CA0A43" w:rsidRDefault="00F84E4E" w:rsidP="00E67942">
      <w:pPr>
        <w:pStyle w:val="ListParagraph"/>
        <w:numPr>
          <w:ilvl w:val="0"/>
          <w:numId w:val="8"/>
        </w:numPr>
      </w:pPr>
      <w:r>
        <w:t xml:space="preserve">I do not want the pressure of addressing gaps in knowledge at my organisation about Aboriginal or Torres Strait Islander </w:t>
      </w:r>
      <w:proofErr w:type="gramStart"/>
      <w:r>
        <w:t>people</w:t>
      </w:r>
      <w:proofErr w:type="gramEnd"/>
    </w:p>
    <w:p w14:paraId="372D50A0" w14:textId="7117E683" w:rsidR="00F84E4E" w:rsidRDefault="00F84E4E" w:rsidP="00E67942">
      <w:pPr>
        <w:pStyle w:val="ListParagraph"/>
        <w:numPr>
          <w:ilvl w:val="0"/>
          <w:numId w:val="8"/>
        </w:numPr>
      </w:pPr>
      <w:r>
        <w:t>I may be treated differently</w:t>
      </w:r>
      <w:r w:rsidR="0088286E">
        <w:t>.</w:t>
      </w:r>
    </w:p>
    <w:p w14:paraId="3D02C336" w14:textId="231329A6" w:rsidR="00EE4D0E" w:rsidRDefault="00EE4D0E" w:rsidP="00EE4D0E">
      <w:pPr>
        <w:pStyle w:val="Heading3"/>
      </w:pPr>
      <w:r>
        <w:t>Cul</w:t>
      </w:r>
      <w:r w:rsidR="007A377B">
        <w:t>turally and linguistically diverse</w:t>
      </w:r>
      <w:r>
        <w:t xml:space="preserve"> people</w:t>
      </w:r>
    </w:p>
    <w:p w14:paraId="2E07C83C" w14:textId="20DA1D2B" w:rsidR="00EE4D0E" w:rsidRDefault="009D254C" w:rsidP="00CA33A4">
      <w:r>
        <w:t>2,374</w:t>
      </w:r>
      <w:r w:rsidR="00EE4D0E">
        <w:t xml:space="preserve"> employees, </w:t>
      </w:r>
      <w:r w:rsidR="00E64B1A">
        <w:t xml:space="preserve">which is </w:t>
      </w:r>
      <w:r>
        <w:t>34</w:t>
      </w:r>
      <w:r w:rsidR="00EE4D0E">
        <w:t>.</w:t>
      </w:r>
      <w:r>
        <w:t>5</w:t>
      </w:r>
      <w:r w:rsidR="00EE4D0E">
        <w:t xml:space="preserve">% of people who answered that they identified as </w:t>
      </w:r>
      <w:r>
        <w:t>culturally and linguistically diverse</w:t>
      </w:r>
      <w:r w:rsidR="00EE4D0E">
        <w:t xml:space="preserve"> have shared this with their agency.</w:t>
      </w:r>
    </w:p>
    <w:p w14:paraId="7B99628F" w14:textId="70C03CB9" w:rsidR="00EE4D0E" w:rsidRDefault="00EB4D29" w:rsidP="00CA33A4">
      <w:r>
        <w:t>698</w:t>
      </w:r>
      <w:r w:rsidR="00EE4D0E">
        <w:t xml:space="preserve"> employees, </w:t>
      </w:r>
      <w:r w:rsidR="00E64B1A">
        <w:t xml:space="preserve">which is </w:t>
      </w:r>
      <w:r>
        <w:t>10.1</w:t>
      </w:r>
      <w:r w:rsidR="00EE4D0E">
        <w:t xml:space="preserve">% of people who answered that they identified as </w:t>
      </w:r>
      <w:r>
        <w:t>culturally and linguistically diverse</w:t>
      </w:r>
      <w:r w:rsidR="00EE4D0E">
        <w:t xml:space="preserve"> have not shared this with their agency.</w:t>
      </w:r>
    </w:p>
    <w:p w14:paraId="094C0A40" w14:textId="720956CB" w:rsidR="00CA0A43" w:rsidRDefault="00CA0A43" w:rsidP="00E67942">
      <w:pPr>
        <w:pStyle w:val="Heading4"/>
      </w:pPr>
      <w:r>
        <w:t xml:space="preserve">Top 3 reasons </w:t>
      </w:r>
      <w:r w:rsidR="0088286E">
        <w:t xml:space="preserve">why they have not </w:t>
      </w:r>
      <w:proofErr w:type="gramStart"/>
      <w:r w:rsidR="0088286E">
        <w:t>shared</w:t>
      </w:r>
      <w:proofErr w:type="gramEnd"/>
    </w:p>
    <w:p w14:paraId="7C3F1FA8" w14:textId="05D7B2BC" w:rsidR="00CA0A43" w:rsidRDefault="00EE4D0E" w:rsidP="00E67942">
      <w:pPr>
        <w:pStyle w:val="ListParagraph"/>
        <w:numPr>
          <w:ilvl w:val="0"/>
          <w:numId w:val="9"/>
        </w:numPr>
      </w:pPr>
      <w:r>
        <w:t>I</w:t>
      </w:r>
      <w:r w:rsidR="007B4DAC">
        <w:t xml:space="preserve"> </w:t>
      </w:r>
      <w:r w:rsidR="00287103">
        <w:t xml:space="preserve">do not want to be the spokesperson for culturally and linguistically diverse </w:t>
      </w:r>
      <w:proofErr w:type="gramStart"/>
      <w:r w:rsidR="00287103">
        <w:t>people</w:t>
      </w:r>
      <w:proofErr w:type="gramEnd"/>
    </w:p>
    <w:p w14:paraId="2193E888" w14:textId="737E8F63" w:rsidR="00CA0A43" w:rsidRDefault="00EE4D0E" w:rsidP="00E67942">
      <w:pPr>
        <w:pStyle w:val="ListParagraph"/>
        <w:numPr>
          <w:ilvl w:val="0"/>
          <w:numId w:val="9"/>
        </w:numPr>
      </w:pPr>
      <w:r>
        <w:t xml:space="preserve">I may be treated </w:t>
      </w:r>
      <w:proofErr w:type="gramStart"/>
      <w:r>
        <w:t>differently</w:t>
      </w:r>
      <w:proofErr w:type="gramEnd"/>
    </w:p>
    <w:p w14:paraId="7AD898E1" w14:textId="3F1303C0" w:rsidR="00EE4D0E" w:rsidRDefault="00F76BA8" w:rsidP="00E67942">
      <w:pPr>
        <w:pStyle w:val="ListParagraph"/>
        <w:numPr>
          <w:ilvl w:val="0"/>
          <w:numId w:val="9"/>
        </w:numPr>
      </w:pPr>
      <w:r>
        <w:t>I may be limited in roles offered</w:t>
      </w:r>
      <w:r w:rsidR="0088286E">
        <w:t>.</w:t>
      </w:r>
    </w:p>
    <w:p w14:paraId="1991160E" w14:textId="0DA705A0" w:rsidR="002B36F1" w:rsidRDefault="002B36F1" w:rsidP="002B36F1">
      <w:pPr>
        <w:pStyle w:val="Heading3"/>
      </w:pPr>
      <w:r>
        <w:t>People with disability</w:t>
      </w:r>
    </w:p>
    <w:p w14:paraId="1CC29FF0" w14:textId="36072ADD" w:rsidR="00300EB6" w:rsidRDefault="0072070F" w:rsidP="00CA33A4">
      <w:r>
        <w:t>700</w:t>
      </w:r>
      <w:r w:rsidR="00300EB6">
        <w:t xml:space="preserve"> employees, </w:t>
      </w:r>
      <w:r w:rsidR="00E64B1A">
        <w:t xml:space="preserve">which is </w:t>
      </w:r>
      <w:r>
        <w:t>55.3</w:t>
      </w:r>
      <w:r w:rsidR="00300EB6">
        <w:t xml:space="preserve">% of people who answered that they identified as </w:t>
      </w:r>
      <w:r>
        <w:t>people with disability</w:t>
      </w:r>
      <w:r w:rsidR="00300EB6">
        <w:t xml:space="preserve"> have shared this with their agency.</w:t>
      </w:r>
    </w:p>
    <w:p w14:paraId="717E8CE8" w14:textId="599DE80F" w:rsidR="00300EB6" w:rsidRDefault="0072070F" w:rsidP="00CA33A4">
      <w:r>
        <w:t>337</w:t>
      </w:r>
      <w:r w:rsidR="00300EB6">
        <w:t xml:space="preserve"> employees, </w:t>
      </w:r>
      <w:r w:rsidR="00E64B1A">
        <w:t xml:space="preserve">which is </w:t>
      </w:r>
      <w:r>
        <w:t>26.6</w:t>
      </w:r>
      <w:r w:rsidR="00300EB6">
        <w:t xml:space="preserve">% of people who answered that they identified </w:t>
      </w:r>
      <w:r w:rsidR="00814402">
        <w:t xml:space="preserve">as people with disability </w:t>
      </w:r>
      <w:r w:rsidR="00300EB6">
        <w:t>have not shared this with their agency.</w:t>
      </w:r>
    </w:p>
    <w:p w14:paraId="2A96ECC5" w14:textId="671DECE3" w:rsidR="007B4DAC" w:rsidRDefault="007B4DAC" w:rsidP="007B4DAC">
      <w:pPr>
        <w:pStyle w:val="Heading4"/>
      </w:pPr>
      <w:r>
        <w:t>Top 3 reasons</w:t>
      </w:r>
      <w:r w:rsidR="0088286E" w:rsidRPr="0088286E">
        <w:t xml:space="preserve"> </w:t>
      </w:r>
      <w:r w:rsidR="0088286E">
        <w:t xml:space="preserve">why they have not </w:t>
      </w:r>
      <w:proofErr w:type="gramStart"/>
      <w:r w:rsidR="0088286E">
        <w:t>shared</w:t>
      </w:r>
      <w:proofErr w:type="gramEnd"/>
    </w:p>
    <w:p w14:paraId="2103ADAE" w14:textId="2FB35B74" w:rsidR="007B4DAC" w:rsidRDefault="00300EB6" w:rsidP="00E67942">
      <w:pPr>
        <w:pStyle w:val="ListParagraph"/>
        <w:numPr>
          <w:ilvl w:val="0"/>
          <w:numId w:val="11"/>
        </w:numPr>
      </w:pPr>
      <w:r>
        <w:t xml:space="preserve">I may be treated </w:t>
      </w:r>
      <w:proofErr w:type="gramStart"/>
      <w:r>
        <w:t>differently</w:t>
      </w:r>
      <w:proofErr w:type="gramEnd"/>
    </w:p>
    <w:p w14:paraId="3DD87442" w14:textId="7FF3D185" w:rsidR="007B4DAC" w:rsidRDefault="007B4DAC" w:rsidP="00E67942">
      <w:pPr>
        <w:pStyle w:val="ListParagraph"/>
        <w:numPr>
          <w:ilvl w:val="0"/>
          <w:numId w:val="11"/>
        </w:numPr>
      </w:pPr>
      <w:r>
        <w:t>M</w:t>
      </w:r>
      <w:r w:rsidR="00EE4D0E">
        <w:t xml:space="preserve">y disability does not impact on my ability to undertake my </w:t>
      </w:r>
      <w:proofErr w:type="gramStart"/>
      <w:r w:rsidR="00EE4D0E">
        <w:t>role</w:t>
      </w:r>
      <w:proofErr w:type="gramEnd"/>
    </w:p>
    <w:p w14:paraId="08F3E881" w14:textId="0215B894" w:rsidR="00EE4D0E" w:rsidRDefault="00EE4D0E" w:rsidP="00E67942">
      <w:pPr>
        <w:pStyle w:val="ListParagraph"/>
        <w:numPr>
          <w:ilvl w:val="0"/>
          <w:numId w:val="11"/>
        </w:numPr>
      </w:pPr>
      <w:r>
        <w:t>I may be limited in roles offered</w:t>
      </w:r>
      <w:r w:rsidR="0088286E">
        <w:t>.</w:t>
      </w:r>
    </w:p>
    <w:p w14:paraId="0F8A7E0B" w14:textId="7B472625" w:rsidR="00E62D78" w:rsidRDefault="00E62D78" w:rsidP="00E67942">
      <w:pPr>
        <w:pStyle w:val="Heading3"/>
      </w:pPr>
      <w:r>
        <w:lastRenderedPageBreak/>
        <w:t>Diverse gender identities</w:t>
      </w:r>
    </w:p>
    <w:p w14:paraId="62AA56B8" w14:textId="01BBC054" w:rsidR="00065269" w:rsidRDefault="00E64B1A" w:rsidP="00065269">
      <w:r>
        <w:t xml:space="preserve">337 employees, which is </w:t>
      </w:r>
      <w:r w:rsidR="00F92FF8">
        <w:t>0.7% of the sector</w:t>
      </w:r>
      <w:r w:rsidR="0004738D">
        <w:t xml:space="preserve">, </w:t>
      </w:r>
      <w:r w:rsidR="00057030">
        <w:t>identify with</w:t>
      </w:r>
      <w:r w:rsidR="0004738D">
        <w:t xml:space="preserve"> diverse gender identities</w:t>
      </w:r>
      <w:r w:rsidR="00842028">
        <w:t xml:space="preserve">. </w:t>
      </w:r>
      <w:r w:rsidR="007A2E5C">
        <w:t xml:space="preserve">Of these, </w:t>
      </w:r>
      <w:r w:rsidR="00842028">
        <w:t>156 employees</w:t>
      </w:r>
      <w:r w:rsidR="00B77422">
        <w:t xml:space="preserve">, which </w:t>
      </w:r>
      <w:r w:rsidR="00D75118">
        <w:t xml:space="preserve">is </w:t>
      </w:r>
      <w:r w:rsidR="00B77422">
        <w:t>46.3% of</w:t>
      </w:r>
      <w:r w:rsidR="00D75118">
        <w:t xml:space="preserve"> those with diverse gender identities, have shared this with their colleagues. 175 employees, which is 51.9%</w:t>
      </w:r>
      <w:r w:rsidR="00232ED6">
        <w:t xml:space="preserve"> of those with diverse gender identities, haven’t shared this with their colleagues.</w:t>
      </w:r>
    </w:p>
    <w:p w14:paraId="4B4C03B8" w14:textId="03925B76" w:rsidR="00E62D78" w:rsidRDefault="00E62D78" w:rsidP="00E67942">
      <w:pPr>
        <w:pStyle w:val="Heading3"/>
      </w:pPr>
      <w:r>
        <w:t>Diverse sexual orientation</w:t>
      </w:r>
    </w:p>
    <w:p w14:paraId="5B9A4CF1" w14:textId="10F5DD92" w:rsidR="00D548A9" w:rsidRDefault="00CA19AF" w:rsidP="00D548A9">
      <w:r>
        <w:t>2,511</w:t>
      </w:r>
      <w:r w:rsidR="00D548A9">
        <w:t xml:space="preserve"> employees, which is </w:t>
      </w:r>
      <w:r w:rsidR="00362B8B">
        <w:t>5.3</w:t>
      </w:r>
      <w:r w:rsidR="00D548A9">
        <w:t xml:space="preserve">% of the sector, </w:t>
      </w:r>
      <w:r w:rsidR="00057030">
        <w:t>identify with</w:t>
      </w:r>
      <w:r w:rsidR="00D548A9">
        <w:t xml:space="preserve"> diverse </w:t>
      </w:r>
      <w:r w:rsidR="00E62D78">
        <w:t>sexual orientation</w:t>
      </w:r>
      <w:r w:rsidR="00D548A9">
        <w:t xml:space="preserve">. </w:t>
      </w:r>
      <w:r w:rsidR="007A2E5C">
        <w:t xml:space="preserve">Of these </w:t>
      </w:r>
      <w:r w:rsidR="00362B8B">
        <w:t xml:space="preserve">1,409 </w:t>
      </w:r>
      <w:r w:rsidR="00D548A9">
        <w:t xml:space="preserve">employees, which is </w:t>
      </w:r>
      <w:r w:rsidR="00362B8B">
        <w:t>56.1</w:t>
      </w:r>
      <w:r w:rsidR="00D548A9">
        <w:t xml:space="preserve">% of those with diverse </w:t>
      </w:r>
      <w:r w:rsidR="00E62D78">
        <w:t>sexual orientation</w:t>
      </w:r>
      <w:r w:rsidR="00D548A9">
        <w:t>, have shared this with their colleagues. 1</w:t>
      </w:r>
      <w:r w:rsidR="00362B8B">
        <w:t>,039</w:t>
      </w:r>
      <w:r w:rsidR="00D548A9">
        <w:t xml:space="preserve"> employees, which is </w:t>
      </w:r>
      <w:r w:rsidR="00362B8B">
        <w:t>41</w:t>
      </w:r>
      <w:r w:rsidR="00D548A9">
        <w:t>.</w:t>
      </w:r>
      <w:r w:rsidR="00362B8B">
        <w:t>4</w:t>
      </w:r>
      <w:r w:rsidR="00D548A9">
        <w:t xml:space="preserve">% of those with diverse </w:t>
      </w:r>
      <w:r w:rsidR="00E62D78">
        <w:t>sexual orientation</w:t>
      </w:r>
      <w:r w:rsidR="00D548A9">
        <w:t>, haven’t shared this with their colleagues.</w:t>
      </w:r>
    </w:p>
    <w:p w14:paraId="44E3EA42" w14:textId="5960D6DC" w:rsidR="00E62D78" w:rsidRDefault="00E62D78" w:rsidP="00E67942">
      <w:pPr>
        <w:pStyle w:val="Heading3"/>
      </w:pPr>
      <w:r>
        <w:t>Diverse sexual characteristics</w:t>
      </w:r>
    </w:p>
    <w:p w14:paraId="5242EC46" w14:textId="74B0CEDD" w:rsidR="006B3903" w:rsidRDefault="006B3903" w:rsidP="00D548A9">
      <w:r>
        <w:t xml:space="preserve">47 employees, which is </w:t>
      </w:r>
      <w:r w:rsidR="007D29D9">
        <w:t>0.1</w:t>
      </w:r>
      <w:r>
        <w:t xml:space="preserve">% of the sector, have diverse </w:t>
      </w:r>
      <w:r w:rsidR="00E62D78">
        <w:t>sex characteristics</w:t>
      </w:r>
      <w:r>
        <w:t xml:space="preserve">. </w:t>
      </w:r>
      <w:r w:rsidR="00E70D61">
        <w:t xml:space="preserve">Of these 15 </w:t>
      </w:r>
      <w:r>
        <w:t xml:space="preserve">employees, which is </w:t>
      </w:r>
      <w:r w:rsidR="00E70D61">
        <w:t>31.9</w:t>
      </w:r>
      <w:r>
        <w:t xml:space="preserve">% of those with diverse </w:t>
      </w:r>
      <w:r w:rsidR="00E62D78">
        <w:t>sex characteristics</w:t>
      </w:r>
      <w:r>
        <w:t xml:space="preserve">, have shared this with their colleagues. </w:t>
      </w:r>
      <w:r w:rsidR="00E70D61">
        <w:t>30</w:t>
      </w:r>
      <w:r>
        <w:t xml:space="preserve"> employees, which is </w:t>
      </w:r>
      <w:r w:rsidR="00E70D61">
        <w:t>63.8</w:t>
      </w:r>
      <w:r>
        <w:t xml:space="preserve">% of those with diverse </w:t>
      </w:r>
      <w:r w:rsidR="00E62D78">
        <w:t>sex characteristics</w:t>
      </w:r>
      <w:r>
        <w:t>, haven’t shared this with their colleagues.</w:t>
      </w:r>
    </w:p>
    <w:p w14:paraId="11DF1FD7" w14:textId="3819433D" w:rsidR="0004502D" w:rsidRDefault="00556A15" w:rsidP="00556A15">
      <w:pPr>
        <w:pStyle w:val="Heading2"/>
      </w:pPr>
      <w:r>
        <w:t>Sharing Integrity Behaviours</w:t>
      </w:r>
    </w:p>
    <w:p w14:paraId="3EC130D9" w14:textId="28C0F581" w:rsidR="00556A15" w:rsidRDefault="00DF596F" w:rsidP="00DF596F">
      <w:pPr>
        <w:pStyle w:val="Heading3"/>
      </w:pPr>
      <w:r>
        <w:t xml:space="preserve">Behaviours not aligned to proper </w:t>
      </w:r>
      <w:proofErr w:type="gramStart"/>
      <w:r>
        <w:t>process</w:t>
      </w:r>
      <w:proofErr w:type="gramEnd"/>
    </w:p>
    <w:p w14:paraId="636E6F96" w14:textId="77777777" w:rsidR="00EF565E" w:rsidRDefault="00311B41" w:rsidP="00CA33A4">
      <w:r>
        <w:t>Of the 8,814 employees who observed</w:t>
      </w:r>
      <w:r w:rsidR="00D4668F">
        <w:t xml:space="preserve"> </w:t>
      </w:r>
      <w:proofErr w:type="spellStart"/>
      <w:r w:rsidR="00D4668F">
        <w:t>behaviours</w:t>
      </w:r>
      <w:proofErr w:type="spellEnd"/>
      <w:r w:rsidR="00D4668F">
        <w:t xml:space="preserve"> not aligned to proper process</w:t>
      </w:r>
      <w:r w:rsidR="008F68AB">
        <w:t xml:space="preserve">, 2,920 employees reported this </w:t>
      </w:r>
      <w:proofErr w:type="spellStart"/>
      <w:r w:rsidR="008F68AB">
        <w:t>behaviour</w:t>
      </w:r>
      <w:proofErr w:type="spellEnd"/>
      <w:r w:rsidR="008F68AB">
        <w:t xml:space="preserve">, 5,879 did not report the </w:t>
      </w:r>
      <w:proofErr w:type="spellStart"/>
      <w:r w:rsidR="008F68AB">
        <w:t>behaviour</w:t>
      </w:r>
      <w:proofErr w:type="spellEnd"/>
      <w:r w:rsidR="008F68AB">
        <w:t>.</w:t>
      </w:r>
    </w:p>
    <w:p w14:paraId="3C8CDE85" w14:textId="08B68E96" w:rsidR="00EF565E" w:rsidRDefault="00EF565E" w:rsidP="00E67942">
      <w:pPr>
        <w:pStyle w:val="Heading4"/>
      </w:pPr>
      <w:r>
        <w:t xml:space="preserve">Top 3 reasons for not reporting </w:t>
      </w:r>
      <w:proofErr w:type="gramStart"/>
      <w:r>
        <w:t>it</w:t>
      </w:r>
      <w:proofErr w:type="gramEnd"/>
    </w:p>
    <w:p w14:paraId="488B8D72" w14:textId="47B302CC" w:rsidR="00EF565E" w:rsidRDefault="00EF565E" w:rsidP="00E67942">
      <w:pPr>
        <w:pStyle w:val="ListParagraph"/>
        <w:numPr>
          <w:ilvl w:val="0"/>
          <w:numId w:val="10"/>
        </w:numPr>
      </w:pPr>
      <w:r>
        <w:t>The</w:t>
      </w:r>
      <w:r w:rsidR="00E76032">
        <w:t xml:space="preserve"> person was in a position of </w:t>
      </w:r>
      <w:proofErr w:type="gramStart"/>
      <w:r w:rsidR="00E76032">
        <w:t>power</w:t>
      </w:r>
      <w:proofErr w:type="gramEnd"/>
    </w:p>
    <w:p w14:paraId="5084DACD" w14:textId="3FC334D5" w:rsidR="00EF565E" w:rsidRDefault="00EF565E" w:rsidP="00E67942">
      <w:pPr>
        <w:pStyle w:val="ListParagraph"/>
        <w:numPr>
          <w:ilvl w:val="0"/>
          <w:numId w:val="10"/>
        </w:numPr>
      </w:pPr>
      <w:r>
        <w:t>R</w:t>
      </w:r>
      <w:r w:rsidR="00786F40">
        <w:t xml:space="preserve">eporting would have a negative effect on my </w:t>
      </w:r>
      <w:proofErr w:type="gramStart"/>
      <w:r w:rsidR="00786F40">
        <w:t>career</w:t>
      </w:r>
      <w:proofErr w:type="gramEnd"/>
    </w:p>
    <w:p w14:paraId="5133EDCC" w14:textId="21C167E9" w:rsidR="00887C2B" w:rsidRDefault="00EF565E" w:rsidP="00E67942">
      <w:pPr>
        <w:pStyle w:val="ListParagraph"/>
        <w:numPr>
          <w:ilvl w:val="0"/>
          <w:numId w:val="10"/>
        </w:numPr>
      </w:pPr>
      <w:r>
        <w:t>F</w:t>
      </w:r>
      <w:r w:rsidR="00970976">
        <w:t>ear of victimisation</w:t>
      </w:r>
      <w:r w:rsidR="00F462C6">
        <w:t>.</w:t>
      </w:r>
    </w:p>
    <w:p w14:paraId="08207357" w14:textId="7ED3600F" w:rsidR="00575B41" w:rsidRDefault="00575B41" w:rsidP="00575B41">
      <w:pPr>
        <w:pStyle w:val="Heading3"/>
      </w:pPr>
      <w:r>
        <w:t>Bullying or harassment</w:t>
      </w:r>
    </w:p>
    <w:p w14:paraId="3881DA30" w14:textId="0387773C" w:rsidR="00417396" w:rsidRDefault="00A20ED6" w:rsidP="00CA33A4">
      <w:r>
        <w:t xml:space="preserve">Of the 9,371 employees who </w:t>
      </w:r>
      <w:r w:rsidR="00F462C6">
        <w:t>experienced</w:t>
      </w:r>
      <w:r>
        <w:t xml:space="preserve"> </w:t>
      </w:r>
      <w:r w:rsidR="00C60CA8">
        <w:t>bullying or harassment</w:t>
      </w:r>
      <w:r>
        <w:t xml:space="preserve">, 5,244 employees reported </w:t>
      </w:r>
      <w:r w:rsidR="00D0231F">
        <w:t>it</w:t>
      </w:r>
      <w:r>
        <w:t xml:space="preserve">, 4,117 did not report </w:t>
      </w:r>
      <w:r w:rsidR="00D0231F">
        <w:t>it</w:t>
      </w:r>
      <w:r>
        <w:t>.</w:t>
      </w:r>
    </w:p>
    <w:p w14:paraId="743D3E20" w14:textId="77777777" w:rsidR="00417396" w:rsidRDefault="00417396" w:rsidP="00417396">
      <w:pPr>
        <w:pStyle w:val="Heading4"/>
      </w:pPr>
      <w:r>
        <w:t xml:space="preserve">Top 3 reasons for not reporting </w:t>
      </w:r>
      <w:proofErr w:type="gramStart"/>
      <w:r>
        <w:t>it</w:t>
      </w:r>
      <w:proofErr w:type="gramEnd"/>
    </w:p>
    <w:p w14:paraId="57A2FB7A" w14:textId="2D897F4E" w:rsidR="00417396" w:rsidRDefault="00417396" w:rsidP="00E67942">
      <w:pPr>
        <w:pStyle w:val="ListParagraph"/>
        <w:numPr>
          <w:ilvl w:val="0"/>
          <w:numId w:val="12"/>
        </w:numPr>
      </w:pPr>
      <w:r>
        <w:t>T</w:t>
      </w:r>
      <w:r w:rsidR="00A20ED6">
        <w:t xml:space="preserve">he person was in a position of </w:t>
      </w:r>
      <w:proofErr w:type="gramStart"/>
      <w:r w:rsidR="00A20ED6">
        <w:t>powe</w:t>
      </w:r>
      <w:r>
        <w:t>r</w:t>
      </w:r>
      <w:proofErr w:type="gramEnd"/>
    </w:p>
    <w:p w14:paraId="5CB3DC25" w14:textId="2999AF2B" w:rsidR="00417396" w:rsidRDefault="00417396" w:rsidP="00E67942">
      <w:pPr>
        <w:pStyle w:val="ListParagraph"/>
        <w:numPr>
          <w:ilvl w:val="0"/>
          <w:numId w:val="12"/>
        </w:numPr>
      </w:pPr>
      <w:r>
        <w:t>F</w:t>
      </w:r>
      <w:r w:rsidR="00C63799">
        <w:t>ear of victimisation</w:t>
      </w:r>
    </w:p>
    <w:p w14:paraId="0E6EA8F7" w14:textId="7EF5DA23" w:rsidR="00A20ED6" w:rsidRDefault="00417396" w:rsidP="00E67942">
      <w:pPr>
        <w:pStyle w:val="ListParagraph"/>
        <w:numPr>
          <w:ilvl w:val="0"/>
          <w:numId w:val="12"/>
        </w:numPr>
      </w:pPr>
      <w:r>
        <w:t>T</w:t>
      </w:r>
      <w:r w:rsidR="00C63799">
        <w:t>he behaviour was widely accepted</w:t>
      </w:r>
      <w:r w:rsidR="00F462C6">
        <w:t>.</w:t>
      </w:r>
    </w:p>
    <w:p w14:paraId="0F93C60B" w14:textId="77777777" w:rsidR="008C7B74" w:rsidRDefault="008C7B74">
      <w:pPr>
        <w:spacing w:after="160"/>
        <w:rPr>
          <w:rFonts w:ascii="Century Gothic" w:eastAsiaTheme="majorEastAsia" w:hAnsi="Century Gothic" w:cstheme="majorBidi"/>
          <w:b/>
          <w:sz w:val="44"/>
          <w:szCs w:val="32"/>
          <w:lang w:val="en-AU"/>
        </w:rPr>
      </w:pPr>
      <w:r>
        <w:br w:type="page"/>
      </w:r>
    </w:p>
    <w:p w14:paraId="7228A843" w14:textId="7AB51281" w:rsidR="00AC1497" w:rsidRDefault="00AC1497" w:rsidP="00AC1497">
      <w:pPr>
        <w:pStyle w:val="Heading1"/>
      </w:pPr>
      <w:r>
        <w:lastRenderedPageBreak/>
        <w:t xml:space="preserve">Integrity </w:t>
      </w:r>
      <w:r w:rsidR="0044611D">
        <w:t>B</w:t>
      </w:r>
      <w:r>
        <w:t>ehaviours</w:t>
      </w:r>
    </w:p>
    <w:p w14:paraId="0B870939" w14:textId="1658A1C8" w:rsidR="00CC2BBA" w:rsidRDefault="00CC2BBA" w:rsidP="00E67942">
      <w:r w:rsidRPr="00E67942">
        <w:t xml:space="preserve">Insights into integrity </w:t>
      </w:r>
      <w:proofErr w:type="spellStart"/>
      <w:r w:rsidRPr="00E67942">
        <w:t>behaviours</w:t>
      </w:r>
      <w:proofErr w:type="spellEnd"/>
      <w:r w:rsidRPr="00E67942">
        <w:t xml:space="preserve"> in the last 12 months related to proper processes, gifts, benefits, hospitality, bullying and harassment, and discrimination.</w:t>
      </w:r>
    </w:p>
    <w:p w14:paraId="58FF7AA6" w14:textId="3FE6924A" w:rsidR="00AC1497" w:rsidRDefault="0044611D" w:rsidP="004620BD">
      <w:pPr>
        <w:pStyle w:val="Heading2"/>
      </w:pPr>
      <w:r>
        <w:t>Observed behaviours not</w:t>
      </w:r>
      <w:r w:rsidR="004620BD">
        <w:t xml:space="preserve"> aligned to proper </w:t>
      </w:r>
      <w:proofErr w:type="gramStart"/>
      <w:r w:rsidR="004620BD">
        <w:t>process</w:t>
      </w:r>
      <w:proofErr w:type="gramEnd"/>
    </w:p>
    <w:p w14:paraId="5C4380FE" w14:textId="598389B1" w:rsidR="004620BD" w:rsidRDefault="006A3626" w:rsidP="004620BD">
      <w:r>
        <w:t>8,814 employees, which is 18.7% of the sector, observed</w:t>
      </w:r>
      <w:r w:rsidR="000C62C9">
        <w:t xml:space="preserve"> </w:t>
      </w:r>
      <w:proofErr w:type="spellStart"/>
      <w:r w:rsidR="000C62C9">
        <w:t>behaviours</w:t>
      </w:r>
      <w:proofErr w:type="spellEnd"/>
      <w:r w:rsidR="000C62C9">
        <w:t xml:space="preserve"> that were not aligned to proper process in the last 12 months</w:t>
      </w:r>
      <w:r w:rsidR="00D211D6">
        <w:t>.</w:t>
      </w:r>
    </w:p>
    <w:p w14:paraId="1D6C03A1" w14:textId="77777777" w:rsidR="00A80DE7" w:rsidRDefault="0052637D" w:rsidP="00805204">
      <w:pPr>
        <w:pStyle w:val="Heading3"/>
      </w:pPr>
      <w:r w:rsidRPr="00E67942">
        <w:rPr>
          <w:rStyle w:val="Heading4Char"/>
        </w:rPr>
        <w:t>Top 3 types of work</w:t>
      </w:r>
    </w:p>
    <w:p w14:paraId="0E1FB656" w14:textId="118880B1" w:rsidR="00A80DE7" w:rsidRDefault="00A80DE7" w:rsidP="00E67942">
      <w:pPr>
        <w:pStyle w:val="ListParagraph"/>
        <w:numPr>
          <w:ilvl w:val="0"/>
          <w:numId w:val="13"/>
        </w:numPr>
      </w:pPr>
      <w:r>
        <w:t>T</w:t>
      </w:r>
      <w:r w:rsidR="0052637D" w:rsidRPr="00E67942">
        <w:t>eaching, lecturing, training, vocational support</w:t>
      </w:r>
    </w:p>
    <w:p w14:paraId="0F6FE95A" w14:textId="4BCD45F7" w:rsidR="00A80DE7" w:rsidRDefault="0052637D" w:rsidP="00E67942">
      <w:pPr>
        <w:pStyle w:val="ListParagraph"/>
        <w:numPr>
          <w:ilvl w:val="0"/>
          <w:numId w:val="13"/>
        </w:numPr>
      </w:pPr>
      <w:r w:rsidRPr="00E67942">
        <w:t>Administrative support</w:t>
      </w:r>
    </w:p>
    <w:p w14:paraId="5EC7EB8D" w14:textId="4341E36F" w:rsidR="0052637D" w:rsidRDefault="0052637D" w:rsidP="00E67942">
      <w:pPr>
        <w:pStyle w:val="ListParagraph"/>
        <w:numPr>
          <w:ilvl w:val="0"/>
          <w:numId w:val="13"/>
        </w:numPr>
      </w:pPr>
      <w:r w:rsidRPr="00E67942">
        <w:t>Management</w:t>
      </w:r>
      <w:r w:rsidR="00057030">
        <w:t>.</w:t>
      </w:r>
    </w:p>
    <w:p w14:paraId="73EFCE9E" w14:textId="35C34F78" w:rsidR="006B384F" w:rsidRPr="00E67942" w:rsidRDefault="00521F45" w:rsidP="00805204">
      <w:pPr>
        <w:pStyle w:val="Heading3"/>
      </w:pPr>
      <w:r>
        <w:t>Gender breakdown</w:t>
      </w:r>
    </w:p>
    <w:p w14:paraId="374E7DF0" w14:textId="795102B6" w:rsidR="002C54AB" w:rsidRDefault="00D211D6" w:rsidP="00CA33A4">
      <w:r>
        <w:t>5,603 female employees, which is 18.</w:t>
      </w:r>
      <w:r w:rsidR="00EA6658">
        <w:t>3</w:t>
      </w:r>
      <w:r>
        <w:t xml:space="preserve">% of </w:t>
      </w:r>
      <w:r w:rsidR="00F462C6">
        <w:t>al</w:t>
      </w:r>
      <w:r w:rsidR="00EA6658">
        <w:t xml:space="preserve">l </w:t>
      </w:r>
      <w:r w:rsidR="002C54AB">
        <w:t>female</w:t>
      </w:r>
      <w:r w:rsidR="00EA6658">
        <w:t xml:space="preserve"> employee</w:t>
      </w:r>
      <w:r w:rsidR="002C54AB">
        <w:t>s</w:t>
      </w:r>
      <w:r>
        <w:t xml:space="preserve">, observed </w:t>
      </w:r>
      <w:proofErr w:type="spellStart"/>
      <w:r>
        <w:t>behaviours</w:t>
      </w:r>
      <w:proofErr w:type="spellEnd"/>
      <w:r>
        <w:t xml:space="preserve"> that were not aligned to proper process in the last 12 months.</w:t>
      </w:r>
    </w:p>
    <w:p w14:paraId="4C3BF14A" w14:textId="0C802E0D" w:rsidR="006F7BB7" w:rsidRDefault="006F7BB7" w:rsidP="00CA33A4">
      <w:r>
        <w:t xml:space="preserve">2,906 male employees, which is 18.8% of </w:t>
      </w:r>
      <w:r w:rsidR="00EA6658">
        <w:t xml:space="preserve">all </w:t>
      </w:r>
      <w:r>
        <w:t>male</w:t>
      </w:r>
      <w:r w:rsidR="00EA6658">
        <w:t xml:space="preserve"> employee</w:t>
      </w:r>
      <w:r>
        <w:t xml:space="preserve">s, observed </w:t>
      </w:r>
      <w:proofErr w:type="spellStart"/>
      <w:r>
        <w:t>behaviours</w:t>
      </w:r>
      <w:proofErr w:type="spellEnd"/>
      <w:r>
        <w:t xml:space="preserve"> that were not aligned to proper process in the last 12 months.</w:t>
      </w:r>
    </w:p>
    <w:p w14:paraId="35A10646" w14:textId="23DB51F9" w:rsidR="00521F45" w:rsidRDefault="00521F45" w:rsidP="00805204">
      <w:pPr>
        <w:pStyle w:val="Heading3"/>
      </w:pPr>
      <w:r>
        <w:t>Region breakdown</w:t>
      </w:r>
    </w:p>
    <w:p w14:paraId="20CFDF33" w14:textId="33E1FDA0" w:rsidR="00491546" w:rsidRDefault="00491546" w:rsidP="00CA33A4">
      <w:r>
        <w:t>5,488 employees, which is 17.5</w:t>
      </w:r>
      <w:r w:rsidR="00EA6658">
        <w:t>%</w:t>
      </w:r>
      <w:r w:rsidR="002166BB">
        <w:t xml:space="preserve"> of </w:t>
      </w:r>
      <w:r w:rsidR="00EA6658">
        <w:t xml:space="preserve">all </w:t>
      </w:r>
      <w:r w:rsidR="0088286E">
        <w:t>metropolitan</w:t>
      </w:r>
      <w:r w:rsidR="002166BB">
        <w:t xml:space="preserve"> </w:t>
      </w:r>
      <w:r w:rsidR="00EA6658">
        <w:t>employees</w:t>
      </w:r>
      <w:r>
        <w:t xml:space="preserve">, observed </w:t>
      </w:r>
      <w:proofErr w:type="spellStart"/>
      <w:r>
        <w:t>behaviours</w:t>
      </w:r>
      <w:proofErr w:type="spellEnd"/>
      <w:r>
        <w:t xml:space="preserve"> that were not aligned to proper process in the last 12 months.</w:t>
      </w:r>
    </w:p>
    <w:p w14:paraId="73D0B95D" w14:textId="592F1B1E" w:rsidR="00491546" w:rsidRDefault="003946C4" w:rsidP="00CA33A4">
      <w:r>
        <w:t>1,589</w:t>
      </w:r>
      <w:r w:rsidR="00491546">
        <w:t xml:space="preserve"> employees, which is 1</w:t>
      </w:r>
      <w:r>
        <w:t>9</w:t>
      </w:r>
      <w:r w:rsidR="00491546">
        <w:t>.</w:t>
      </w:r>
      <w:r>
        <w:t>6</w:t>
      </w:r>
      <w:r w:rsidR="00491546">
        <w:t>%</w:t>
      </w:r>
      <w:r>
        <w:t xml:space="preserve"> of </w:t>
      </w:r>
      <w:r w:rsidR="00EA6658">
        <w:t xml:space="preserve">all </w:t>
      </w:r>
      <w:r>
        <w:t xml:space="preserve">regional </w:t>
      </w:r>
      <w:r w:rsidR="00EA6658">
        <w:t>employees</w:t>
      </w:r>
      <w:r w:rsidR="00491546">
        <w:t xml:space="preserve">, observed </w:t>
      </w:r>
      <w:proofErr w:type="spellStart"/>
      <w:r w:rsidR="00491546">
        <w:t>behaviours</w:t>
      </w:r>
      <w:proofErr w:type="spellEnd"/>
      <w:r w:rsidR="00491546">
        <w:t xml:space="preserve"> that were not aligned to proper process in the last 12 months.</w:t>
      </w:r>
    </w:p>
    <w:p w14:paraId="184D70C0" w14:textId="68312B33" w:rsidR="001E2C13" w:rsidRDefault="001E2C13" w:rsidP="00E67942">
      <w:pPr>
        <w:pStyle w:val="Heading2"/>
      </w:pPr>
      <w:r>
        <w:t>Gifts, benefits and hospitality</w:t>
      </w:r>
    </w:p>
    <w:p w14:paraId="3F0E6E20" w14:textId="2CD40D3B" w:rsidR="00BC73B6" w:rsidRDefault="003E5E98" w:rsidP="00BC73B6">
      <w:r>
        <w:t xml:space="preserve">1,988 </w:t>
      </w:r>
      <w:r w:rsidR="00BC73B6">
        <w:t xml:space="preserve">employees, which is </w:t>
      </w:r>
      <w:r>
        <w:t>4</w:t>
      </w:r>
      <w:r w:rsidR="00BC73B6">
        <w:t>.</w:t>
      </w:r>
      <w:r>
        <w:t>2</w:t>
      </w:r>
      <w:r w:rsidR="00BC73B6">
        <w:t>% of the sector</w:t>
      </w:r>
      <w:r>
        <w:t>, had a supplier offer th</w:t>
      </w:r>
      <w:r w:rsidR="00234123">
        <w:t>em a gift, benefit or hospitality in the last 12 months</w:t>
      </w:r>
      <w:r w:rsidR="00056358">
        <w:t>.</w:t>
      </w:r>
    </w:p>
    <w:p w14:paraId="27A3A522" w14:textId="77777777" w:rsidR="00BC73B6" w:rsidRDefault="00BC73B6" w:rsidP="00805204">
      <w:pPr>
        <w:pStyle w:val="Heading3"/>
      </w:pPr>
      <w:r w:rsidRPr="00534933">
        <w:rPr>
          <w:rStyle w:val="Heading4Char"/>
        </w:rPr>
        <w:t>Top 3 types of work</w:t>
      </w:r>
    </w:p>
    <w:p w14:paraId="4C02DC39" w14:textId="44C49A69" w:rsidR="00BC73B6" w:rsidRDefault="006A0719" w:rsidP="00E67942">
      <w:pPr>
        <w:pStyle w:val="ListParagraph"/>
        <w:numPr>
          <w:ilvl w:val="0"/>
          <w:numId w:val="14"/>
        </w:numPr>
      </w:pPr>
      <w:r>
        <w:t>Management</w:t>
      </w:r>
    </w:p>
    <w:p w14:paraId="24C74C80" w14:textId="4463E48A" w:rsidR="00BC73B6" w:rsidRDefault="006A0719" w:rsidP="00E67942">
      <w:pPr>
        <w:pStyle w:val="ListParagraph"/>
        <w:numPr>
          <w:ilvl w:val="0"/>
          <w:numId w:val="14"/>
        </w:numPr>
      </w:pPr>
      <w:r>
        <w:t>Project management, project support</w:t>
      </w:r>
    </w:p>
    <w:p w14:paraId="0CCEA385" w14:textId="7FCBA030" w:rsidR="00BC73B6" w:rsidRDefault="006A0719" w:rsidP="00E67942">
      <w:pPr>
        <w:pStyle w:val="ListParagraph"/>
        <w:numPr>
          <w:ilvl w:val="0"/>
          <w:numId w:val="14"/>
        </w:numPr>
      </w:pPr>
      <w:r>
        <w:t>Teaching, lecturing, training, vocational su</w:t>
      </w:r>
      <w:r w:rsidR="00827FC6">
        <w:t>p</w:t>
      </w:r>
      <w:r>
        <w:t>port</w:t>
      </w:r>
      <w:r w:rsidR="00EA6658">
        <w:t>.</w:t>
      </w:r>
    </w:p>
    <w:p w14:paraId="6E63D0B3" w14:textId="77777777" w:rsidR="00BC73B6" w:rsidRPr="00534933" w:rsidRDefault="00BC73B6" w:rsidP="00805204">
      <w:pPr>
        <w:pStyle w:val="Heading3"/>
      </w:pPr>
      <w:r>
        <w:t>Gender breakdown</w:t>
      </w:r>
    </w:p>
    <w:p w14:paraId="064A4364" w14:textId="54D4EB8D" w:rsidR="00BC73B6" w:rsidRDefault="00056358" w:rsidP="00BC73B6">
      <w:r>
        <w:t>1,212</w:t>
      </w:r>
      <w:r w:rsidR="00BC73B6">
        <w:t xml:space="preserve"> female employees, which is </w:t>
      </w:r>
      <w:r>
        <w:t>4.0</w:t>
      </w:r>
      <w:r w:rsidR="00BC73B6">
        <w:t xml:space="preserve">% of </w:t>
      </w:r>
      <w:r w:rsidR="00EA6658">
        <w:t xml:space="preserve">all </w:t>
      </w:r>
      <w:r w:rsidR="00BC73B6">
        <w:t>female</w:t>
      </w:r>
      <w:r w:rsidR="00EA6658">
        <w:t xml:space="preserve"> employee</w:t>
      </w:r>
      <w:r w:rsidR="00BC73B6">
        <w:t xml:space="preserve">s, </w:t>
      </w:r>
      <w:r>
        <w:t>had a supplier offer them a gift, benefit or hospitality in the last 12 months</w:t>
      </w:r>
      <w:r w:rsidR="00BC73B6">
        <w:t>.</w:t>
      </w:r>
    </w:p>
    <w:p w14:paraId="6A07F737" w14:textId="14C91A1E" w:rsidR="00BC73B6" w:rsidRDefault="00056358" w:rsidP="00BC73B6">
      <w:r>
        <w:t>734</w:t>
      </w:r>
      <w:r w:rsidR="00BC73B6">
        <w:t xml:space="preserve"> male employees, which is </w:t>
      </w:r>
      <w:r>
        <w:t>4</w:t>
      </w:r>
      <w:r w:rsidR="00BC73B6">
        <w:t xml:space="preserve">.8% of </w:t>
      </w:r>
      <w:r w:rsidR="00EA6658">
        <w:t xml:space="preserve">all </w:t>
      </w:r>
      <w:r w:rsidR="00BC73B6">
        <w:t>male</w:t>
      </w:r>
      <w:r w:rsidR="00EA6658">
        <w:t xml:space="preserve"> employee</w:t>
      </w:r>
      <w:r w:rsidR="00BC73B6">
        <w:t xml:space="preserve">s, </w:t>
      </w:r>
      <w:r>
        <w:t>had a supplier offer them a gift, benefit or hospitality in the last 12 months.</w:t>
      </w:r>
    </w:p>
    <w:p w14:paraId="4EA3F968" w14:textId="77777777" w:rsidR="00BC73B6" w:rsidRDefault="00BC73B6" w:rsidP="00805204">
      <w:pPr>
        <w:pStyle w:val="Heading3"/>
      </w:pPr>
      <w:r>
        <w:t>Region breakdown</w:t>
      </w:r>
    </w:p>
    <w:p w14:paraId="03A3F15D" w14:textId="7755B7B6" w:rsidR="00BC73B6" w:rsidRDefault="00A03B0E" w:rsidP="00BC73B6">
      <w:r>
        <w:t>1,477</w:t>
      </w:r>
      <w:r w:rsidR="00BC73B6">
        <w:t xml:space="preserve"> employees, which is </w:t>
      </w:r>
      <w:r>
        <w:t>4.7</w:t>
      </w:r>
      <w:r w:rsidR="004E5FB1">
        <w:t>%</w:t>
      </w:r>
      <w:r w:rsidR="003946C4">
        <w:t xml:space="preserve"> of </w:t>
      </w:r>
      <w:r w:rsidR="0088286E">
        <w:t>metropolitan</w:t>
      </w:r>
      <w:r w:rsidR="003946C4">
        <w:t xml:space="preserve"> </w:t>
      </w:r>
      <w:r w:rsidR="00EA6658">
        <w:t>employees</w:t>
      </w:r>
      <w:r w:rsidR="00BC73B6">
        <w:t xml:space="preserve">, </w:t>
      </w:r>
      <w:r>
        <w:t>had a supplier offer them a gift, benefit or hospitality in the last 12 months.</w:t>
      </w:r>
    </w:p>
    <w:p w14:paraId="48750622" w14:textId="76C08F2B" w:rsidR="002F701D" w:rsidRDefault="00E31A4D" w:rsidP="00491546">
      <w:r>
        <w:lastRenderedPageBreak/>
        <w:t xml:space="preserve">249 </w:t>
      </w:r>
      <w:r w:rsidR="00BC73B6">
        <w:t xml:space="preserve">employees, which is </w:t>
      </w:r>
      <w:r>
        <w:t>3.1</w:t>
      </w:r>
      <w:r w:rsidR="004E5FB1">
        <w:t>%</w:t>
      </w:r>
      <w:r w:rsidR="003946C4">
        <w:t xml:space="preserve"> of regional </w:t>
      </w:r>
      <w:r w:rsidR="00EA6658">
        <w:t>employees</w:t>
      </w:r>
      <w:r w:rsidR="00BC73B6">
        <w:t xml:space="preserve">, </w:t>
      </w:r>
      <w:r>
        <w:t>had a supplier offer them a gift, benefit or hospitality in the last 12 months.</w:t>
      </w:r>
    </w:p>
    <w:p w14:paraId="36CEE908" w14:textId="71D2D2B6" w:rsidR="006F7BB7" w:rsidRDefault="002F5AAD" w:rsidP="00805204">
      <w:pPr>
        <w:pStyle w:val="Heading3"/>
      </w:pPr>
      <w:r>
        <w:t>S</w:t>
      </w:r>
      <w:r w:rsidR="00EA5E05">
        <w:t>alary</w:t>
      </w:r>
    </w:p>
    <w:p w14:paraId="054675E5" w14:textId="2773077E" w:rsidR="00EA5E05" w:rsidRPr="00C27AEC" w:rsidRDefault="00182286" w:rsidP="00EA5E05">
      <w:r>
        <w:t xml:space="preserve">The </w:t>
      </w:r>
      <w:r w:rsidR="002F5AAD">
        <w:t>most common</w:t>
      </w:r>
      <w:r>
        <w:t xml:space="preserve"> salary</w:t>
      </w:r>
      <w:r w:rsidR="002F5AAD">
        <w:t xml:space="preserve"> range of those employees offered a gift, benefit or hospitality in the last 12 months</w:t>
      </w:r>
      <w:r>
        <w:t xml:space="preserve"> </w:t>
      </w:r>
      <w:r w:rsidR="002F5AAD">
        <w:t>was</w:t>
      </w:r>
      <w:r>
        <w:t xml:space="preserve"> </w:t>
      </w:r>
      <w:r w:rsidR="00EA5E05" w:rsidRPr="00C27AEC">
        <w:t>$</w:t>
      </w:r>
      <w:r w:rsidR="002F5AAD">
        <w:t xml:space="preserve">107,000 to </w:t>
      </w:r>
      <w:r w:rsidR="00724CDA">
        <w:t>$124,</w:t>
      </w:r>
      <w:r w:rsidR="00922C0B">
        <w:t>000</w:t>
      </w:r>
      <w:r w:rsidR="00EA5E05" w:rsidRPr="00C27AEC">
        <w:t xml:space="preserve">, which is Level </w:t>
      </w:r>
      <w:r w:rsidR="00EA5E05">
        <w:t>6</w:t>
      </w:r>
      <w:r w:rsidR="00EA5E05" w:rsidRPr="00C27AEC">
        <w:t xml:space="preserve"> equivalent</w:t>
      </w:r>
      <w:r w:rsidR="000E2FA2">
        <w:t>.</w:t>
      </w:r>
    </w:p>
    <w:p w14:paraId="160E7E7E" w14:textId="0A561916" w:rsidR="00EA5E05" w:rsidRDefault="00F4580F" w:rsidP="00805204">
      <w:pPr>
        <w:pStyle w:val="Heading3"/>
      </w:pPr>
      <w:r>
        <w:t>Contract management</w:t>
      </w:r>
    </w:p>
    <w:p w14:paraId="67E5828E" w14:textId="5B53386E" w:rsidR="00F4580F" w:rsidRDefault="00F4580F" w:rsidP="00F4580F">
      <w:r>
        <w:t xml:space="preserve">1,100 employees, 55.3% of those who had a supplier offer them a gift, </w:t>
      </w:r>
      <w:proofErr w:type="gramStart"/>
      <w:r>
        <w:t>benefit</w:t>
      </w:r>
      <w:proofErr w:type="gramEnd"/>
      <w:r>
        <w:t xml:space="preserve"> or hospitality in the last 12 months</w:t>
      </w:r>
      <w:r w:rsidR="00702C58">
        <w:t>,</w:t>
      </w:r>
      <w:r w:rsidR="000978D1">
        <w:t xml:space="preserve"> were involved in contract management or procurement.</w:t>
      </w:r>
    </w:p>
    <w:p w14:paraId="6416D9A5" w14:textId="342AC541" w:rsidR="00E62DA4" w:rsidRDefault="008851BC" w:rsidP="00805204">
      <w:pPr>
        <w:pStyle w:val="Heading3"/>
      </w:pPr>
      <w:r>
        <w:t>Registering gift, benefit or hospitality</w:t>
      </w:r>
    </w:p>
    <w:p w14:paraId="59ACD38E" w14:textId="79AE9BF2" w:rsidR="00E62DA4" w:rsidRDefault="00E62DA4" w:rsidP="00E62DA4">
      <w:r>
        <w:t xml:space="preserve">854 employees, </w:t>
      </w:r>
      <w:r w:rsidR="0018104B">
        <w:t>43</w:t>
      </w:r>
      <w:r>
        <w:t>.</w:t>
      </w:r>
      <w:r w:rsidR="0018104B">
        <w:t>0</w:t>
      </w:r>
      <w:r>
        <w:t xml:space="preserve">% of those who had a supplier offer them a gift, </w:t>
      </w:r>
      <w:proofErr w:type="gramStart"/>
      <w:r>
        <w:t>benefit</w:t>
      </w:r>
      <w:proofErr w:type="gramEnd"/>
      <w:r>
        <w:t xml:space="preserve"> or hospitality in the last 12 months, </w:t>
      </w:r>
      <w:r w:rsidR="0018104B">
        <w:t>did not register this gift, benefit or hospitality.</w:t>
      </w:r>
    </w:p>
    <w:p w14:paraId="3E53A1D6" w14:textId="6190F667" w:rsidR="00235FA6" w:rsidRDefault="00235FA6" w:rsidP="00235FA6">
      <w:pPr>
        <w:pStyle w:val="Heading2"/>
      </w:pPr>
      <w:r>
        <w:t>Bullying and Harassment</w:t>
      </w:r>
    </w:p>
    <w:p w14:paraId="197FD59C" w14:textId="77777777" w:rsidR="006E40F8" w:rsidRDefault="00777433" w:rsidP="00777433">
      <w:r>
        <w:t xml:space="preserve">9,371 employees, which is 19.9% of the sector, </w:t>
      </w:r>
      <w:r w:rsidR="00830D91">
        <w:t xml:space="preserve">experienced bullying and or harassment </w:t>
      </w:r>
      <w:r>
        <w:t>in the last 12 months.</w:t>
      </w:r>
    </w:p>
    <w:p w14:paraId="0407BF06" w14:textId="4B374EB3" w:rsidR="00894FBC" w:rsidRDefault="006E40F8" w:rsidP="00777433">
      <w:r>
        <w:t xml:space="preserve">Of those 9,371 employees, 8,060 of them, or 86.1%, experienced bullying and or harassment by people </w:t>
      </w:r>
      <w:r w:rsidR="0041115A">
        <w:t>within their agency, 291 of them, or 3.1%, experienced</w:t>
      </w:r>
      <w:r w:rsidR="00154A24">
        <w:t xml:space="preserve"> </w:t>
      </w:r>
      <w:r w:rsidR="0041115A">
        <w:t>bullying and or harassment by people outside their agency and 1,014 of them, or 10.8%, experienced bullying and or harassment by people both inside and outside their agency.</w:t>
      </w:r>
    </w:p>
    <w:p w14:paraId="20F692EA" w14:textId="77777777" w:rsidR="0041115A" w:rsidRPr="00534933" w:rsidRDefault="0041115A" w:rsidP="00805204">
      <w:pPr>
        <w:pStyle w:val="Heading3"/>
      </w:pPr>
      <w:r w:rsidRPr="005F647B">
        <w:t>Gender breakdown</w:t>
      </w:r>
    </w:p>
    <w:p w14:paraId="2E6EED81" w14:textId="55CA1DBB" w:rsidR="0041115A" w:rsidRDefault="0094113B" w:rsidP="0041115A">
      <w:r>
        <w:t>6,275</w:t>
      </w:r>
      <w:r w:rsidR="0041115A">
        <w:t xml:space="preserve"> female employees, which is </w:t>
      </w:r>
      <w:r>
        <w:t>20.5</w:t>
      </w:r>
      <w:r w:rsidR="0041115A">
        <w:t xml:space="preserve">% of </w:t>
      </w:r>
      <w:r w:rsidR="003921B9">
        <w:t xml:space="preserve">all </w:t>
      </w:r>
      <w:r w:rsidR="0041115A">
        <w:t>female</w:t>
      </w:r>
      <w:r w:rsidR="003921B9">
        <w:t xml:space="preserve"> employee</w:t>
      </w:r>
      <w:r w:rsidR="0041115A">
        <w:t>s</w:t>
      </w:r>
      <w:r w:rsidR="00DF18BA">
        <w:t>,</w:t>
      </w:r>
      <w:r w:rsidR="00C960BF" w:rsidRPr="00C960BF">
        <w:t xml:space="preserve"> </w:t>
      </w:r>
      <w:r w:rsidR="00C960BF">
        <w:t>experienced bullying and or harassment in the last 12 months</w:t>
      </w:r>
      <w:r w:rsidR="0041115A">
        <w:t>.</w:t>
      </w:r>
    </w:p>
    <w:p w14:paraId="709A472D" w14:textId="074B2150" w:rsidR="0041115A" w:rsidRDefault="0041115A" w:rsidP="0041115A">
      <w:r>
        <w:t>2,</w:t>
      </w:r>
      <w:r w:rsidR="00CA2884">
        <w:t>797</w:t>
      </w:r>
      <w:r>
        <w:t xml:space="preserve"> male employees, which is 18.</w:t>
      </w:r>
      <w:r w:rsidR="00DF18BA">
        <w:t>1</w:t>
      </w:r>
      <w:r>
        <w:t xml:space="preserve">% of </w:t>
      </w:r>
      <w:r w:rsidR="003921B9">
        <w:t xml:space="preserve">all </w:t>
      </w:r>
      <w:r>
        <w:t>male</w:t>
      </w:r>
      <w:r w:rsidR="003921B9">
        <w:t xml:space="preserve"> employee</w:t>
      </w:r>
      <w:r>
        <w:t xml:space="preserve">s, </w:t>
      </w:r>
      <w:r w:rsidR="00DF18BA">
        <w:t>experienced bullying and or harassment in the last 12 months.</w:t>
      </w:r>
    </w:p>
    <w:p w14:paraId="7A60DFD6" w14:textId="5D1C7DD2" w:rsidR="00A3515F" w:rsidRDefault="00A3515F" w:rsidP="00805204">
      <w:pPr>
        <w:pStyle w:val="Heading3"/>
      </w:pPr>
      <w:r>
        <w:t>Top 3 types of bullying and or harassment</w:t>
      </w:r>
    </w:p>
    <w:p w14:paraId="4C4715CF" w14:textId="1F801222" w:rsidR="00A3515F" w:rsidRDefault="00A3515F" w:rsidP="00E67942">
      <w:pPr>
        <w:pStyle w:val="ListParagraph"/>
        <w:numPr>
          <w:ilvl w:val="0"/>
          <w:numId w:val="15"/>
        </w:numPr>
      </w:pPr>
      <w:r>
        <w:t xml:space="preserve">Inappropriate and unfair application of </w:t>
      </w:r>
      <w:r w:rsidR="00FC6687">
        <w:t>work policies</w:t>
      </w:r>
    </w:p>
    <w:p w14:paraId="7426818F" w14:textId="6D269C61" w:rsidR="00FC6687" w:rsidRDefault="00FC6687" w:rsidP="00E67942">
      <w:pPr>
        <w:pStyle w:val="ListParagraph"/>
        <w:numPr>
          <w:ilvl w:val="0"/>
          <w:numId w:val="15"/>
        </w:numPr>
      </w:pPr>
      <w:r>
        <w:t>Verbal abuse</w:t>
      </w:r>
    </w:p>
    <w:p w14:paraId="34BD0F86" w14:textId="68499E07" w:rsidR="00FC6687" w:rsidRDefault="00FC6687" w:rsidP="00E67942">
      <w:pPr>
        <w:pStyle w:val="ListParagraph"/>
        <w:numPr>
          <w:ilvl w:val="0"/>
          <w:numId w:val="15"/>
        </w:numPr>
      </w:pPr>
      <w:r>
        <w:t>Interference with work tasks</w:t>
      </w:r>
      <w:r w:rsidR="00CA2884">
        <w:t>.</w:t>
      </w:r>
    </w:p>
    <w:p w14:paraId="30574213" w14:textId="5F20BB40" w:rsidR="002669E3" w:rsidRDefault="00CA2884" w:rsidP="00805204">
      <w:pPr>
        <w:pStyle w:val="Heading3"/>
      </w:pPr>
      <w:r>
        <w:t>Salary</w:t>
      </w:r>
    </w:p>
    <w:p w14:paraId="1FD9E3BF" w14:textId="42CA06F7" w:rsidR="002669E3" w:rsidRPr="002669E3" w:rsidRDefault="00CA2884" w:rsidP="00E67942">
      <w:r>
        <w:t xml:space="preserve">The most common salary </w:t>
      </w:r>
      <w:r w:rsidRPr="005F647B">
        <w:t>range</w:t>
      </w:r>
      <w:r>
        <w:t xml:space="preserve"> of those employees </w:t>
      </w:r>
      <w:r w:rsidR="005F647B">
        <w:t xml:space="preserve">who </w:t>
      </w:r>
      <w:r w:rsidR="005F647B" w:rsidRPr="005F647B">
        <w:t>experienced</w:t>
      </w:r>
      <w:r w:rsidR="005F647B">
        <w:t xml:space="preserve"> bullying and or harassment is </w:t>
      </w:r>
      <w:r w:rsidR="00B85276" w:rsidRPr="005F647B">
        <w:t>$93</w:t>
      </w:r>
      <w:r w:rsidR="008D7EFC" w:rsidRPr="005F647B">
        <w:t>,000</w:t>
      </w:r>
      <w:r w:rsidR="00B85276" w:rsidRPr="005F647B">
        <w:t xml:space="preserve"> </w:t>
      </w:r>
      <w:r w:rsidR="005F647B">
        <w:t>to</w:t>
      </w:r>
      <w:r w:rsidR="00B85276" w:rsidRPr="005F647B">
        <w:t xml:space="preserve"> $107</w:t>
      </w:r>
      <w:r w:rsidR="008D7EFC" w:rsidRPr="005F647B">
        <w:t>,000</w:t>
      </w:r>
      <w:r w:rsidR="00B85276" w:rsidRPr="00C27AEC">
        <w:t>, which is Level 5 equivalent</w:t>
      </w:r>
      <w:r w:rsidR="000E2FA2">
        <w:t>.</w:t>
      </w:r>
    </w:p>
    <w:p w14:paraId="4F604FDB" w14:textId="5406A439" w:rsidR="00D15C65" w:rsidRDefault="00D9676C" w:rsidP="00805204">
      <w:pPr>
        <w:pStyle w:val="Heading3"/>
      </w:pPr>
      <w:r>
        <w:t>Metropolitan</w:t>
      </w:r>
      <w:r w:rsidR="00D15C65">
        <w:t xml:space="preserve"> breakdown</w:t>
      </w:r>
    </w:p>
    <w:p w14:paraId="3CE46F68" w14:textId="6D20B0D0" w:rsidR="00D15C65" w:rsidRDefault="00972FB7" w:rsidP="00D15C65">
      <w:r>
        <w:t>5,702</w:t>
      </w:r>
      <w:r w:rsidR="00D15C65">
        <w:t xml:space="preserve"> employees, which is </w:t>
      </w:r>
      <w:r>
        <w:t>18.1</w:t>
      </w:r>
      <w:r w:rsidR="00D15C65">
        <w:t xml:space="preserve">% of </w:t>
      </w:r>
      <w:r w:rsidR="0088286E">
        <w:t>metropolitan</w:t>
      </w:r>
      <w:r w:rsidR="003B6CA2">
        <w:t xml:space="preserve"> </w:t>
      </w:r>
      <w:r w:rsidR="005F647B">
        <w:t>employees</w:t>
      </w:r>
      <w:r w:rsidR="00D15C65">
        <w:t xml:space="preserve">, </w:t>
      </w:r>
      <w:r w:rsidR="003B6CA2">
        <w:t>experienced bullying and or harassment in the last 12 months.</w:t>
      </w:r>
    </w:p>
    <w:p w14:paraId="198C3D22" w14:textId="35D186D7" w:rsidR="00D9676C" w:rsidRDefault="002E73BF" w:rsidP="002E73BF">
      <w:r w:rsidRPr="00E67942">
        <w:t xml:space="preserve">Top 3 types of work of those </w:t>
      </w:r>
      <w:r w:rsidR="005F647B">
        <w:t>metropolitan employees who</w:t>
      </w:r>
      <w:r w:rsidRPr="00E67942">
        <w:t xml:space="preserve"> experienced bullying and or harassment</w:t>
      </w:r>
      <w:r>
        <w:t>: Teaching, lecturing, training, vocational support; Administrative support</w:t>
      </w:r>
      <w:r w:rsidR="00E77599">
        <w:t>; Project management and support.</w:t>
      </w:r>
    </w:p>
    <w:p w14:paraId="70B2C257" w14:textId="06BFE27D" w:rsidR="002E73BF" w:rsidRDefault="00E77599" w:rsidP="00805204">
      <w:pPr>
        <w:pStyle w:val="Heading3"/>
      </w:pPr>
      <w:r>
        <w:lastRenderedPageBreak/>
        <w:t>Regional breakdown</w:t>
      </w:r>
    </w:p>
    <w:p w14:paraId="2292C35F" w14:textId="1540AC5A" w:rsidR="00D15C65" w:rsidRDefault="003B6CA2" w:rsidP="00D15C65">
      <w:r>
        <w:t>1,796</w:t>
      </w:r>
      <w:r w:rsidR="00D15C65">
        <w:t xml:space="preserve"> employees, which is </w:t>
      </w:r>
      <w:r>
        <w:t>22</w:t>
      </w:r>
      <w:r w:rsidR="00D15C65">
        <w:t>.</w:t>
      </w:r>
      <w:r>
        <w:t>2</w:t>
      </w:r>
      <w:r w:rsidR="00D15C65">
        <w:t xml:space="preserve">% of </w:t>
      </w:r>
      <w:r>
        <w:t xml:space="preserve">regional </w:t>
      </w:r>
      <w:r w:rsidR="005F647B">
        <w:t>employees</w:t>
      </w:r>
      <w:r w:rsidR="00D15C65">
        <w:t xml:space="preserve">, </w:t>
      </w:r>
      <w:r w:rsidR="00AD2A6B">
        <w:t>experienced discrimination in the last 12 months.</w:t>
      </w:r>
    </w:p>
    <w:p w14:paraId="022699D8" w14:textId="60B04ED3" w:rsidR="00E77599" w:rsidRDefault="00E77599" w:rsidP="00D15C65">
      <w:r w:rsidRPr="00534933">
        <w:t>Top 3 types of work of those</w:t>
      </w:r>
      <w:r w:rsidR="005F647B">
        <w:t xml:space="preserve"> regional employees who</w:t>
      </w:r>
      <w:r w:rsidRPr="00534933">
        <w:t xml:space="preserve"> experienced bullying and or harassment</w:t>
      </w:r>
      <w:r>
        <w:t>: Administrative support; Teaching, lecturing, training, vocational support; Management.</w:t>
      </w:r>
    </w:p>
    <w:p w14:paraId="0CF9ACE9" w14:textId="639571F7" w:rsidR="00970664" w:rsidRDefault="00970664" w:rsidP="00970664">
      <w:pPr>
        <w:pStyle w:val="Heading2"/>
      </w:pPr>
      <w:r>
        <w:t>Discrimination</w:t>
      </w:r>
    </w:p>
    <w:p w14:paraId="7E939153" w14:textId="0C7CBBE3" w:rsidR="005429A1" w:rsidRDefault="00AD2A6B" w:rsidP="005429A1">
      <w:r>
        <w:t>5,280</w:t>
      </w:r>
      <w:r w:rsidR="005429A1">
        <w:t xml:space="preserve"> employees, which is 1</w:t>
      </w:r>
      <w:r>
        <w:t>1</w:t>
      </w:r>
      <w:r w:rsidR="005429A1">
        <w:t>.</w:t>
      </w:r>
      <w:r>
        <w:t>2</w:t>
      </w:r>
      <w:r w:rsidR="005429A1">
        <w:t xml:space="preserve">% of the sector, experienced </w:t>
      </w:r>
      <w:r>
        <w:t>discrimination</w:t>
      </w:r>
      <w:r w:rsidR="005429A1">
        <w:t xml:space="preserve"> in the last 12 months.</w:t>
      </w:r>
    </w:p>
    <w:p w14:paraId="7E3B103D" w14:textId="1E80DB96" w:rsidR="005429A1" w:rsidRDefault="005429A1" w:rsidP="005429A1">
      <w:r>
        <w:t xml:space="preserve">Of those </w:t>
      </w:r>
      <w:r w:rsidR="00AD2A6B">
        <w:t>5,280</w:t>
      </w:r>
      <w:r>
        <w:t xml:space="preserve"> employees, </w:t>
      </w:r>
      <w:r w:rsidR="00AD2A6B">
        <w:t xml:space="preserve">4,305 </w:t>
      </w:r>
      <w:r>
        <w:t>of them, or 8</w:t>
      </w:r>
      <w:r w:rsidR="00AD2A6B">
        <w:t>1</w:t>
      </w:r>
      <w:r>
        <w:t>.</w:t>
      </w:r>
      <w:r w:rsidR="00AD2A6B">
        <w:t>5</w:t>
      </w:r>
      <w:r>
        <w:t xml:space="preserve">%, experienced </w:t>
      </w:r>
      <w:r w:rsidR="00AD2A6B">
        <w:t>discrimination</w:t>
      </w:r>
      <w:r>
        <w:t xml:space="preserve"> by people within their agency, </w:t>
      </w:r>
      <w:r w:rsidR="00AD2A6B">
        <w:t>374</w:t>
      </w:r>
      <w:r>
        <w:t xml:space="preserve"> of them, or </w:t>
      </w:r>
      <w:r w:rsidR="00AD2A6B">
        <w:t>7</w:t>
      </w:r>
      <w:r>
        <w:t xml:space="preserve">.1%, experienced </w:t>
      </w:r>
      <w:r w:rsidR="00AD2A6B">
        <w:t>discrimination</w:t>
      </w:r>
      <w:r>
        <w:t xml:space="preserve"> by people outside their agency and </w:t>
      </w:r>
      <w:r w:rsidR="00AD2A6B">
        <w:t>601</w:t>
      </w:r>
      <w:r>
        <w:t xml:space="preserve"> of them, or 1</w:t>
      </w:r>
      <w:r w:rsidR="00AD2A6B">
        <w:t>1</w:t>
      </w:r>
      <w:r>
        <w:t>.</w:t>
      </w:r>
      <w:r w:rsidR="00AD2A6B">
        <w:t>4</w:t>
      </w:r>
      <w:r>
        <w:t xml:space="preserve">%, experienced </w:t>
      </w:r>
      <w:r w:rsidR="00AD2A6B">
        <w:t>discrimination</w:t>
      </w:r>
      <w:r>
        <w:t xml:space="preserve"> by people both inside and outside their agency.</w:t>
      </w:r>
    </w:p>
    <w:p w14:paraId="3AEAF45D" w14:textId="77777777" w:rsidR="005429A1" w:rsidRPr="00534933" w:rsidRDefault="005429A1" w:rsidP="00805204">
      <w:pPr>
        <w:pStyle w:val="Heading3"/>
      </w:pPr>
      <w:r>
        <w:t>Gender breakdown</w:t>
      </w:r>
    </w:p>
    <w:p w14:paraId="62AD6588" w14:textId="07BE013D" w:rsidR="005429A1" w:rsidRDefault="00AD2A6B" w:rsidP="005429A1">
      <w:r>
        <w:t>3,367</w:t>
      </w:r>
      <w:r w:rsidR="005429A1">
        <w:t xml:space="preserve"> female employees, which is </w:t>
      </w:r>
      <w:r>
        <w:t>11.0</w:t>
      </w:r>
      <w:r w:rsidR="005429A1">
        <w:t xml:space="preserve">% of </w:t>
      </w:r>
      <w:r w:rsidR="00350498">
        <w:t xml:space="preserve">all </w:t>
      </w:r>
      <w:r w:rsidR="005429A1">
        <w:t>female</w:t>
      </w:r>
      <w:r w:rsidR="00350498">
        <w:t xml:space="preserve"> employee</w:t>
      </w:r>
      <w:r w:rsidR="005429A1">
        <w:t>s,</w:t>
      </w:r>
      <w:r w:rsidR="005429A1" w:rsidRPr="00C960BF">
        <w:t xml:space="preserve"> </w:t>
      </w:r>
      <w:r w:rsidR="005429A1">
        <w:t xml:space="preserve">experienced </w:t>
      </w:r>
      <w:r>
        <w:t>discrimination</w:t>
      </w:r>
      <w:r w:rsidR="005429A1">
        <w:t xml:space="preserve"> in the last 12 months.</w:t>
      </w:r>
    </w:p>
    <w:p w14:paraId="311CF2C4" w14:textId="4CE100BF" w:rsidR="005429A1" w:rsidRDefault="00AD2A6B" w:rsidP="005429A1">
      <w:r>
        <w:t>1,689</w:t>
      </w:r>
      <w:r w:rsidR="005429A1">
        <w:t xml:space="preserve"> male employees, which is </w:t>
      </w:r>
      <w:r>
        <w:t>11.0</w:t>
      </w:r>
      <w:r w:rsidR="005429A1">
        <w:t xml:space="preserve">% of </w:t>
      </w:r>
      <w:r w:rsidR="00350498">
        <w:t xml:space="preserve">all </w:t>
      </w:r>
      <w:r w:rsidR="005429A1">
        <w:t>male</w:t>
      </w:r>
      <w:r w:rsidR="00350498">
        <w:t xml:space="preserve"> employee</w:t>
      </w:r>
      <w:r w:rsidR="005429A1">
        <w:t xml:space="preserve">s, experienced </w:t>
      </w:r>
      <w:r>
        <w:t>discrimination</w:t>
      </w:r>
      <w:r w:rsidR="005429A1">
        <w:t xml:space="preserve"> in the last 12 months.</w:t>
      </w:r>
    </w:p>
    <w:p w14:paraId="3E9A134F" w14:textId="4C2B0EE0" w:rsidR="005429A1" w:rsidRDefault="005429A1" w:rsidP="00805204">
      <w:pPr>
        <w:pStyle w:val="Heading3"/>
      </w:pPr>
      <w:r>
        <w:t xml:space="preserve">Top 3 types of </w:t>
      </w:r>
      <w:r w:rsidR="00AD2A6B">
        <w:t>discrimination</w:t>
      </w:r>
    </w:p>
    <w:p w14:paraId="2C07B83C" w14:textId="65D68D9E" w:rsidR="005429A1" w:rsidRDefault="00AD2A6B" w:rsidP="00E67942">
      <w:pPr>
        <w:pStyle w:val="ListParagraph"/>
        <w:numPr>
          <w:ilvl w:val="0"/>
          <w:numId w:val="16"/>
        </w:numPr>
      </w:pPr>
      <w:r>
        <w:t>Age</w:t>
      </w:r>
    </w:p>
    <w:p w14:paraId="5E26EA05" w14:textId="2CB537ED" w:rsidR="00AD2A6B" w:rsidRDefault="00AD2A6B" w:rsidP="00E67942">
      <w:pPr>
        <w:pStyle w:val="ListParagraph"/>
        <w:numPr>
          <w:ilvl w:val="0"/>
          <w:numId w:val="16"/>
        </w:numPr>
      </w:pPr>
      <w:r>
        <w:t>Race</w:t>
      </w:r>
    </w:p>
    <w:p w14:paraId="6AE430A4" w14:textId="2D471F7A" w:rsidR="00AD2A6B" w:rsidRDefault="00AD2A6B" w:rsidP="00E67942">
      <w:pPr>
        <w:pStyle w:val="ListParagraph"/>
        <w:numPr>
          <w:ilvl w:val="0"/>
          <w:numId w:val="16"/>
        </w:numPr>
      </w:pPr>
      <w:r>
        <w:t>Sex</w:t>
      </w:r>
      <w:r w:rsidR="00350498">
        <w:t>.</w:t>
      </w:r>
    </w:p>
    <w:p w14:paraId="3F33AC31" w14:textId="1E6E31FD" w:rsidR="005429A1" w:rsidRDefault="00350498" w:rsidP="00805204">
      <w:pPr>
        <w:pStyle w:val="Heading3"/>
      </w:pPr>
      <w:r>
        <w:t>Salary</w:t>
      </w:r>
    </w:p>
    <w:p w14:paraId="3C6197D6" w14:textId="59E1EE3A" w:rsidR="005429A1" w:rsidRPr="002669E3" w:rsidRDefault="00350498" w:rsidP="005429A1">
      <w:r>
        <w:t xml:space="preserve">The most common salary </w:t>
      </w:r>
      <w:r w:rsidRPr="005F647B">
        <w:t>range</w:t>
      </w:r>
      <w:r>
        <w:t xml:space="preserve"> of those employees who experienced discrimination is </w:t>
      </w:r>
      <w:r w:rsidR="005429A1" w:rsidRPr="00C27AEC">
        <w:t>$93</w:t>
      </w:r>
      <w:r w:rsidR="00EB71E9">
        <w:t>,000</w:t>
      </w:r>
      <w:r w:rsidR="005429A1" w:rsidRPr="00C27AEC">
        <w:t xml:space="preserve"> </w:t>
      </w:r>
      <w:r>
        <w:t>to</w:t>
      </w:r>
      <w:r w:rsidR="005429A1" w:rsidRPr="00C27AEC">
        <w:t xml:space="preserve"> $107</w:t>
      </w:r>
      <w:r w:rsidR="00EB71E9">
        <w:t>,000</w:t>
      </w:r>
      <w:r w:rsidR="005429A1" w:rsidRPr="00C27AEC">
        <w:t>, which is Level 5 equivalent</w:t>
      </w:r>
      <w:r w:rsidR="000E2FA2">
        <w:t>.</w:t>
      </w:r>
    </w:p>
    <w:p w14:paraId="070AC3E3" w14:textId="77777777" w:rsidR="005429A1" w:rsidRDefault="005429A1" w:rsidP="00805204">
      <w:pPr>
        <w:pStyle w:val="Heading3"/>
      </w:pPr>
      <w:r>
        <w:t>Metropolitan breakdown</w:t>
      </w:r>
    </w:p>
    <w:p w14:paraId="43099875" w14:textId="12137326" w:rsidR="005429A1" w:rsidRDefault="00AD2A6B" w:rsidP="005429A1">
      <w:r>
        <w:t>3,130</w:t>
      </w:r>
      <w:r w:rsidR="005429A1">
        <w:t xml:space="preserve"> employees, which is </w:t>
      </w:r>
      <w:r>
        <w:t>10.0</w:t>
      </w:r>
      <w:r w:rsidR="005429A1">
        <w:t xml:space="preserve">% of </w:t>
      </w:r>
      <w:r w:rsidR="0088286E">
        <w:t>metropolitan</w:t>
      </w:r>
      <w:r w:rsidR="005429A1">
        <w:t xml:space="preserve"> </w:t>
      </w:r>
      <w:r w:rsidR="00350498">
        <w:t>employees</w:t>
      </w:r>
      <w:r w:rsidR="005429A1">
        <w:t xml:space="preserve">, experienced </w:t>
      </w:r>
      <w:r>
        <w:t>discrimination</w:t>
      </w:r>
      <w:r w:rsidR="005429A1">
        <w:t xml:space="preserve"> in the last 12 months.</w:t>
      </w:r>
    </w:p>
    <w:p w14:paraId="622A94CC" w14:textId="530ADE96" w:rsidR="005429A1" w:rsidRDefault="005429A1" w:rsidP="005429A1">
      <w:r w:rsidRPr="00534933">
        <w:t xml:space="preserve">Top 3 types of work of those that experienced </w:t>
      </w:r>
      <w:r w:rsidR="00AD2A6B">
        <w:t>discrimination</w:t>
      </w:r>
      <w:r>
        <w:t>: Teaching, lecturing, training, vocational support; Administrative support; Project management and support.</w:t>
      </w:r>
    </w:p>
    <w:p w14:paraId="169B3D37" w14:textId="77777777" w:rsidR="005429A1" w:rsidRDefault="005429A1" w:rsidP="00805204">
      <w:pPr>
        <w:pStyle w:val="Heading3"/>
      </w:pPr>
      <w:r>
        <w:t>Regional breakdown</w:t>
      </w:r>
    </w:p>
    <w:p w14:paraId="5C88180F" w14:textId="121A5342" w:rsidR="005429A1" w:rsidRDefault="00AD2A6B" w:rsidP="005429A1">
      <w:r>
        <w:t>950</w:t>
      </w:r>
      <w:r w:rsidR="005429A1">
        <w:t xml:space="preserve"> employees, which is </w:t>
      </w:r>
      <w:r>
        <w:t>11.7</w:t>
      </w:r>
      <w:r w:rsidR="005429A1">
        <w:t xml:space="preserve">% of regional </w:t>
      </w:r>
      <w:r w:rsidR="00350498">
        <w:t>employees</w:t>
      </w:r>
      <w:r w:rsidR="005429A1">
        <w:t xml:space="preserve">, </w:t>
      </w:r>
      <w:r>
        <w:t>experienced discrimination in the last 12 months.</w:t>
      </w:r>
    </w:p>
    <w:p w14:paraId="6C0FD050" w14:textId="34E16527" w:rsidR="005429A1" w:rsidRDefault="005429A1" w:rsidP="005429A1">
      <w:r w:rsidRPr="00534933">
        <w:t xml:space="preserve">Top 3 types of work of those that experienced </w:t>
      </w:r>
      <w:r w:rsidR="00AD2A6B">
        <w:t>discrimination</w:t>
      </w:r>
      <w:r>
        <w:t xml:space="preserve">: Teaching, lecturing, training, vocational support; </w:t>
      </w:r>
      <w:r w:rsidR="00AD2A6B">
        <w:t xml:space="preserve">Administrative support; </w:t>
      </w:r>
      <w:r>
        <w:t>Management.</w:t>
      </w:r>
    </w:p>
    <w:p w14:paraId="3A2D2262" w14:textId="77777777" w:rsidR="00611CC8" w:rsidRDefault="00611CC8">
      <w:pPr>
        <w:rPr>
          <w:rFonts w:ascii="Century Gothic" w:eastAsiaTheme="majorEastAsia" w:hAnsi="Century Gothic" w:cstheme="majorBidi"/>
          <w:b/>
          <w:sz w:val="44"/>
          <w:szCs w:val="32"/>
        </w:rPr>
      </w:pPr>
      <w:r>
        <w:br w:type="page"/>
      </w:r>
    </w:p>
    <w:p w14:paraId="07D86680" w14:textId="696DF3C1" w:rsidR="00970664" w:rsidRDefault="0023783D" w:rsidP="0023783D">
      <w:pPr>
        <w:pStyle w:val="Heading1"/>
      </w:pPr>
      <w:r>
        <w:lastRenderedPageBreak/>
        <w:t>Workforce Intentions</w:t>
      </w:r>
    </w:p>
    <w:p w14:paraId="6D7A7BAF" w14:textId="79FE4AD9" w:rsidR="0023783D" w:rsidRPr="0023783D" w:rsidRDefault="0023783D" w:rsidP="00E67942">
      <w:r>
        <w:t>The characteristics of employees who intend to stay or leave their agency</w:t>
      </w:r>
      <w:r w:rsidR="00C76A03">
        <w:t xml:space="preserve"> and their reasons.</w:t>
      </w:r>
    </w:p>
    <w:p w14:paraId="11626DB5" w14:textId="3BBD3433" w:rsidR="0023783D" w:rsidRDefault="0023783D" w:rsidP="0023783D">
      <w:pPr>
        <w:pStyle w:val="Heading2"/>
      </w:pPr>
      <w:r>
        <w:t xml:space="preserve">Intention to leave in less than 12 </w:t>
      </w:r>
      <w:proofErr w:type="gramStart"/>
      <w:r>
        <w:t>months</w:t>
      </w:r>
      <w:proofErr w:type="gramEnd"/>
    </w:p>
    <w:p w14:paraId="308FC9EB" w14:textId="3DCA8AA9" w:rsidR="00970664" w:rsidRDefault="00607C19" w:rsidP="00D15C65">
      <w:r>
        <w:t>4,915 employees</w:t>
      </w:r>
      <w:r w:rsidR="006B64A9">
        <w:t>, which is 10.4% of the sector, intend to leave their agency in less than 12 months.</w:t>
      </w:r>
    </w:p>
    <w:p w14:paraId="785B83C3" w14:textId="77777777" w:rsidR="00825250" w:rsidRPr="00534933" w:rsidRDefault="00825250" w:rsidP="00805204">
      <w:pPr>
        <w:pStyle w:val="Heading3"/>
      </w:pPr>
      <w:r>
        <w:t>Gender breakdown</w:t>
      </w:r>
    </w:p>
    <w:p w14:paraId="1FAE9A43" w14:textId="2C321BC8" w:rsidR="00825250" w:rsidRDefault="00825250" w:rsidP="00825250">
      <w:r>
        <w:t xml:space="preserve">3,030 female employees, which is 9.9% of </w:t>
      </w:r>
      <w:r w:rsidR="00591DAC">
        <w:t xml:space="preserve">all </w:t>
      </w:r>
      <w:r>
        <w:t>female</w:t>
      </w:r>
      <w:r w:rsidR="00591DAC">
        <w:t xml:space="preserve"> employee</w:t>
      </w:r>
      <w:r>
        <w:t>s, intend to leave their agency in less than 12 months.</w:t>
      </w:r>
    </w:p>
    <w:p w14:paraId="0860CD7E" w14:textId="45BB3266" w:rsidR="00825250" w:rsidRDefault="00825250" w:rsidP="00825250">
      <w:r>
        <w:t>1,727 male employees, which is 11.2% of</w:t>
      </w:r>
      <w:r w:rsidR="00591DAC">
        <w:t xml:space="preserve"> all </w:t>
      </w:r>
      <w:r>
        <w:t>male</w:t>
      </w:r>
      <w:r w:rsidR="00591DAC">
        <w:t xml:space="preserve"> employee</w:t>
      </w:r>
      <w:r>
        <w:t>s, intend to leave their agency in less than 12 months.</w:t>
      </w:r>
    </w:p>
    <w:p w14:paraId="4FFD3F02" w14:textId="1FB04F57" w:rsidR="0035028F" w:rsidRPr="00C27AEC" w:rsidRDefault="0035028F" w:rsidP="0035028F">
      <w:r>
        <w:t xml:space="preserve">The most common age group of employees who intend to leave their agency in less than 12 months is </w:t>
      </w:r>
      <w:proofErr w:type="gramStart"/>
      <w:r>
        <w:t>50 to 54 year old</w:t>
      </w:r>
      <w:proofErr w:type="gramEnd"/>
      <w:r>
        <w:t xml:space="preserve"> employees.</w:t>
      </w:r>
    </w:p>
    <w:p w14:paraId="486BAB5F" w14:textId="7B324485" w:rsidR="0035028F" w:rsidRPr="00C27AEC" w:rsidRDefault="0035028F" w:rsidP="0035028F">
      <w:r>
        <w:t xml:space="preserve">The most common salary range of employees who intend to leave their agency in less than 12 months is </w:t>
      </w:r>
      <w:r w:rsidRPr="00C27AEC">
        <w:t>$93</w:t>
      </w:r>
      <w:r>
        <w:t>,000</w:t>
      </w:r>
      <w:r w:rsidRPr="00C27AEC">
        <w:t xml:space="preserve"> </w:t>
      </w:r>
      <w:r>
        <w:t>to</w:t>
      </w:r>
      <w:r w:rsidRPr="00C27AEC">
        <w:t xml:space="preserve"> $107</w:t>
      </w:r>
      <w:r>
        <w:t>,000</w:t>
      </w:r>
      <w:r w:rsidRPr="00C27AEC">
        <w:t xml:space="preserve">, which is </w:t>
      </w:r>
      <w:r>
        <w:t xml:space="preserve">equivalent to </w:t>
      </w:r>
      <w:r w:rsidRPr="00C27AEC">
        <w:t xml:space="preserve">Level 5 </w:t>
      </w:r>
      <w:r>
        <w:t xml:space="preserve">under the </w:t>
      </w:r>
      <w:r w:rsidRPr="00566CA8">
        <w:t>Public Sector CSA Agreement</w:t>
      </w:r>
      <w:r>
        <w:t>.</w:t>
      </w:r>
    </w:p>
    <w:p w14:paraId="29F7E510" w14:textId="6A113157" w:rsidR="0035028F" w:rsidRPr="00C27AEC" w:rsidRDefault="0035028F" w:rsidP="0035028F">
      <w:r>
        <w:t xml:space="preserve">The most common tenure of employees who intend to leave their agency in less than 12 months is </w:t>
      </w:r>
      <w:r w:rsidRPr="00C27AEC">
        <w:t>5 to less than 11 years</w:t>
      </w:r>
      <w:r>
        <w:t>.</w:t>
      </w:r>
    </w:p>
    <w:p w14:paraId="30DA7D2C" w14:textId="52A4EC26" w:rsidR="00843AF5" w:rsidRDefault="00BA357F" w:rsidP="00805204">
      <w:pPr>
        <w:pStyle w:val="Heading3"/>
      </w:pPr>
      <w:r>
        <w:t xml:space="preserve">Top 3 types of work of those intending to </w:t>
      </w:r>
      <w:proofErr w:type="gramStart"/>
      <w:r>
        <w:t>leave</w:t>
      </w:r>
      <w:proofErr w:type="gramEnd"/>
    </w:p>
    <w:p w14:paraId="74952ED4" w14:textId="7FAEA22D" w:rsidR="00BA357F" w:rsidRDefault="00BA357F" w:rsidP="00E67942">
      <w:pPr>
        <w:pStyle w:val="ListParagraph"/>
        <w:numPr>
          <w:ilvl w:val="0"/>
          <w:numId w:val="17"/>
        </w:numPr>
      </w:pPr>
      <w:r>
        <w:t>Administrative support</w:t>
      </w:r>
    </w:p>
    <w:p w14:paraId="251F7543" w14:textId="5E28BD9C" w:rsidR="00BA357F" w:rsidRDefault="00BA357F" w:rsidP="00E67942">
      <w:pPr>
        <w:pStyle w:val="ListParagraph"/>
        <w:numPr>
          <w:ilvl w:val="0"/>
          <w:numId w:val="17"/>
        </w:numPr>
      </w:pPr>
      <w:r>
        <w:t>Teaching</w:t>
      </w:r>
    </w:p>
    <w:p w14:paraId="06F258D9" w14:textId="7CC37528" w:rsidR="00BA357F" w:rsidRDefault="00BA357F" w:rsidP="00E67942">
      <w:pPr>
        <w:pStyle w:val="ListParagraph"/>
        <w:numPr>
          <w:ilvl w:val="0"/>
          <w:numId w:val="17"/>
        </w:numPr>
      </w:pPr>
      <w:r>
        <w:t>Project management and support</w:t>
      </w:r>
      <w:r w:rsidR="00F36B2E">
        <w:t>.</w:t>
      </w:r>
    </w:p>
    <w:p w14:paraId="26C7D36F" w14:textId="1BA5004B" w:rsidR="00BA357F" w:rsidRDefault="00BA357F" w:rsidP="00805204">
      <w:pPr>
        <w:pStyle w:val="Heading3"/>
      </w:pPr>
      <w:r>
        <w:t xml:space="preserve">Top 3 reasons of those intending to </w:t>
      </w:r>
      <w:proofErr w:type="gramStart"/>
      <w:r>
        <w:t>leave</w:t>
      </w:r>
      <w:proofErr w:type="gramEnd"/>
    </w:p>
    <w:p w14:paraId="02D5B4B8" w14:textId="1CDCCD49" w:rsidR="00BA357F" w:rsidRDefault="00F027BF" w:rsidP="00E67942">
      <w:pPr>
        <w:pStyle w:val="ListParagraph"/>
        <w:numPr>
          <w:ilvl w:val="0"/>
          <w:numId w:val="18"/>
        </w:numPr>
      </w:pPr>
      <w:r>
        <w:t>Career and job opportunities</w:t>
      </w:r>
    </w:p>
    <w:p w14:paraId="775D8F92" w14:textId="60EC5B5C" w:rsidR="00F027BF" w:rsidRDefault="00F027BF" w:rsidP="00E67942">
      <w:pPr>
        <w:pStyle w:val="ListParagraph"/>
        <w:numPr>
          <w:ilvl w:val="0"/>
          <w:numId w:val="18"/>
        </w:numPr>
      </w:pPr>
      <w:r>
        <w:t>Organisation leadership</w:t>
      </w:r>
      <w:r w:rsidR="00811E66">
        <w:t xml:space="preserve"> and </w:t>
      </w:r>
      <w:r>
        <w:t>culture</w:t>
      </w:r>
    </w:p>
    <w:p w14:paraId="2401D61C" w14:textId="27727C5F" w:rsidR="00F027BF" w:rsidRDefault="00F027BF" w:rsidP="00E67942">
      <w:pPr>
        <w:pStyle w:val="ListParagraph"/>
        <w:numPr>
          <w:ilvl w:val="0"/>
          <w:numId w:val="18"/>
        </w:numPr>
      </w:pPr>
      <w:r>
        <w:t>Workload</w:t>
      </w:r>
      <w:r w:rsidR="00811E66">
        <w:t xml:space="preserve"> or </w:t>
      </w:r>
      <w:r>
        <w:t>work pressure</w:t>
      </w:r>
      <w:r w:rsidR="00F36B2E">
        <w:t>.</w:t>
      </w:r>
    </w:p>
    <w:p w14:paraId="4604569F" w14:textId="72EE2ABD" w:rsidR="00F027BF" w:rsidRDefault="00F027BF" w:rsidP="00805204">
      <w:pPr>
        <w:pStyle w:val="Heading3"/>
      </w:pPr>
      <w:r>
        <w:t>Top reason</w:t>
      </w:r>
      <w:r w:rsidR="003D660C">
        <w:t xml:space="preserve"> to leave for female and male</w:t>
      </w:r>
      <w:r w:rsidR="00445AEA">
        <w:t xml:space="preserve"> </w:t>
      </w:r>
      <w:proofErr w:type="gramStart"/>
      <w:r w:rsidR="00445AEA">
        <w:t>employees</w:t>
      </w:r>
      <w:proofErr w:type="gramEnd"/>
    </w:p>
    <w:p w14:paraId="06995DC4" w14:textId="632B3AA5" w:rsidR="003D660C" w:rsidRDefault="00BB4A0C" w:rsidP="003D660C">
      <w:r>
        <w:t>The top reason</w:t>
      </w:r>
      <w:r w:rsidR="00445AEA">
        <w:t xml:space="preserve"> to leave an agency within the next 12 months for both male and female employees is c</w:t>
      </w:r>
      <w:r w:rsidR="003D660C">
        <w:t>areer and job opportunities</w:t>
      </w:r>
      <w:r w:rsidR="00445AEA">
        <w:t>.</w:t>
      </w:r>
    </w:p>
    <w:p w14:paraId="018CDA26" w14:textId="23D49F02" w:rsidR="66DE17D3" w:rsidRDefault="66DE17D3" w:rsidP="00805204">
      <w:pPr>
        <w:pStyle w:val="Heading3"/>
      </w:pPr>
      <w:r>
        <w:t>Of those intending to leave in less than 12 months</w:t>
      </w:r>
    </w:p>
    <w:p w14:paraId="21A7F8AE" w14:textId="675CB99D" w:rsidR="003D660C" w:rsidRDefault="00953614" w:rsidP="003D660C">
      <w:r>
        <w:t>3,595 employees</w:t>
      </w:r>
      <w:r w:rsidR="00CA61DB">
        <w:t>, which is 74.3% of those intending to leave in less than 12 months, did not receiv</w:t>
      </w:r>
      <w:r w:rsidR="00057030">
        <w:t>e</w:t>
      </w:r>
      <w:r w:rsidR="00CA61DB">
        <w:t xml:space="preserve"> feedback about their performance.</w:t>
      </w:r>
    </w:p>
    <w:p w14:paraId="354063F0" w14:textId="691FFD98" w:rsidR="00CA61DB" w:rsidRDefault="00CA61DB" w:rsidP="00CA61DB">
      <w:r>
        <w:t>1,755 employees, which is 35.7% of those intending to leave in less than 12 months, experienced bullying and or harassment.</w:t>
      </w:r>
    </w:p>
    <w:p w14:paraId="018ABF58" w14:textId="10239B61" w:rsidR="00CA61DB" w:rsidRDefault="00CA61DB" w:rsidP="00CA61DB">
      <w:r>
        <w:t>2,725 employees, which is 55.4% of those intending to leave in less than 12 months, are applying for jobs outside the public sector and or their agency.</w:t>
      </w:r>
    </w:p>
    <w:p w14:paraId="6A34AB29" w14:textId="67EF3BD4" w:rsidR="00D16E16" w:rsidRDefault="00D16E16" w:rsidP="00805204">
      <w:pPr>
        <w:pStyle w:val="Heading3"/>
      </w:pPr>
      <w:r>
        <w:lastRenderedPageBreak/>
        <w:t>Regional breakdown</w:t>
      </w:r>
    </w:p>
    <w:p w14:paraId="78BCE7C3" w14:textId="27666CD5" w:rsidR="00CA61DB" w:rsidRDefault="00902568" w:rsidP="00CA61DB">
      <w:r>
        <w:t>3,306 employees, which is 10.5%</w:t>
      </w:r>
      <w:r w:rsidRPr="00902568">
        <w:t xml:space="preserve"> </w:t>
      </w:r>
      <w:r w:rsidR="0088286E">
        <w:t>metropolitan</w:t>
      </w:r>
      <w:r w:rsidR="008509E8">
        <w:t xml:space="preserve"> </w:t>
      </w:r>
      <w:r w:rsidR="0020195D">
        <w:t>employees</w:t>
      </w:r>
      <w:r w:rsidR="00EF4B1E">
        <w:t xml:space="preserve">, </w:t>
      </w:r>
      <w:r>
        <w:t xml:space="preserve">intend to leave </w:t>
      </w:r>
      <w:r w:rsidR="00EF4B1E">
        <w:t xml:space="preserve">their agency </w:t>
      </w:r>
      <w:r>
        <w:t>in less than 12 months</w:t>
      </w:r>
      <w:r w:rsidR="00EF4B1E">
        <w:t>.</w:t>
      </w:r>
    </w:p>
    <w:p w14:paraId="1523331C" w14:textId="35F0AFD8" w:rsidR="008509E8" w:rsidRDefault="008509E8" w:rsidP="00CA61DB">
      <w:r>
        <w:t>668 employees, which is 8.2%</w:t>
      </w:r>
      <w:r w:rsidRPr="00902568">
        <w:t xml:space="preserve"> </w:t>
      </w:r>
      <w:r>
        <w:t xml:space="preserve">of regional </w:t>
      </w:r>
      <w:r w:rsidR="0020195D">
        <w:t>employees</w:t>
      </w:r>
      <w:r>
        <w:t>, intend to leave their agency in less than 12 months.</w:t>
      </w:r>
    </w:p>
    <w:p w14:paraId="6245D6EB" w14:textId="7B41C714" w:rsidR="00F17A4B" w:rsidRDefault="00F17A4B" w:rsidP="00F17A4B">
      <w:pPr>
        <w:pStyle w:val="Heading2"/>
      </w:pPr>
      <w:r>
        <w:t xml:space="preserve">Intention to leave in less than 5 </w:t>
      </w:r>
      <w:proofErr w:type="gramStart"/>
      <w:r>
        <w:t>years</w:t>
      </w:r>
      <w:proofErr w:type="gramEnd"/>
    </w:p>
    <w:p w14:paraId="2C52F1D4" w14:textId="1DF7F4CD" w:rsidR="00F17A4B" w:rsidRDefault="00CF2A14" w:rsidP="00F17A4B">
      <w:r>
        <w:t>19,231</w:t>
      </w:r>
      <w:r w:rsidR="00F17A4B">
        <w:t xml:space="preserve"> employees, which is </w:t>
      </w:r>
      <w:r>
        <w:t>40.8</w:t>
      </w:r>
      <w:r w:rsidR="00F17A4B">
        <w:t xml:space="preserve">% of the sector, intend to leave their agency in less than </w:t>
      </w:r>
      <w:r>
        <w:t>5 years</w:t>
      </w:r>
      <w:r w:rsidR="00F17A4B">
        <w:t>.</w:t>
      </w:r>
    </w:p>
    <w:p w14:paraId="0514208B" w14:textId="77777777" w:rsidR="00F17A4B" w:rsidRPr="00534933" w:rsidRDefault="00F17A4B" w:rsidP="00805204">
      <w:pPr>
        <w:pStyle w:val="Heading3"/>
      </w:pPr>
      <w:r>
        <w:t>Gender breakdown</w:t>
      </w:r>
    </w:p>
    <w:p w14:paraId="703135C2" w14:textId="6C63EC16" w:rsidR="00F17A4B" w:rsidRDefault="00F379CF" w:rsidP="00F17A4B">
      <w:r>
        <w:t>12</w:t>
      </w:r>
      <w:r w:rsidR="00F17A4B">
        <w:t>,</w:t>
      </w:r>
      <w:r>
        <w:t>103</w:t>
      </w:r>
      <w:r w:rsidR="00F17A4B">
        <w:t xml:space="preserve"> female employees, which is </w:t>
      </w:r>
      <w:r>
        <w:t>3</w:t>
      </w:r>
      <w:r w:rsidR="00F17A4B">
        <w:t>9.</w:t>
      </w:r>
      <w:r>
        <w:t>6</w:t>
      </w:r>
      <w:r w:rsidR="00F17A4B">
        <w:t>% of</w:t>
      </w:r>
      <w:r w:rsidR="007362E4">
        <w:t xml:space="preserve"> all </w:t>
      </w:r>
      <w:r w:rsidR="00F17A4B">
        <w:t>female</w:t>
      </w:r>
      <w:r w:rsidR="007362E4">
        <w:t xml:space="preserve"> employee</w:t>
      </w:r>
      <w:r w:rsidR="00F17A4B">
        <w:t xml:space="preserve">s, intend to leave their agency in less than </w:t>
      </w:r>
      <w:r>
        <w:t>5 years</w:t>
      </w:r>
      <w:r w:rsidR="00F17A4B">
        <w:t>.</w:t>
      </w:r>
    </w:p>
    <w:p w14:paraId="2AE83556" w14:textId="2E802E39" w:rsidR="00F17A4B" w:rsidRDefault="00DF0638" w:rsidP="00F17A4B">
      <w:r>
        <w:t>6</w:t>
      </w:r>
      <w:r w:rsidR="00F17A4B">
        <w:t>,</w:t>
      </w:r>
      <w:r>
        <w:t xml:space="preserve">648 </w:t>
      </w:r>
      <w:r w:rsidR="00F17A4B">
        <w:t xml:space="preserve">male employees, which is </w:t>
      </w:r>
      <w:r>
        <w:t>43</w:t>
      </w:r>
      <w:r w:rsidR="00F17A4B">
        <w:t>.</w:t>
      </w:r>
      <w:r>
        <w:t>1</w:t>
      </w:r>
      <w:r w:rsidR="00F17A4B">
        <w:t xml:space="preserve">% of </w:t>
      </w:r>
      <w:r w:rsidR="007362E4">
        <w:t xml:space="preserve">all </w:t>
      </w:r>
      <w:r w:rsidR="00F17A4B">
        <w:t>male</w:t>
      </w:r>
      <w:r w:rsidR="007362E4">
        <w:t xml:space="preserve"> employee</w:t>
      </w:r>
      <w:r w:rsidR="00F17A4B">
        <w:t xml:space="preserve">s, intend to leave their agency in less than </w:t>
      </w:r>
      <w:r w:rsidR="00F379CF">
        <w:t>5 years</w:t>
      </w:r>
      <w:r w:rsidR="00F17A4B">
        <w:t>.</w:t>
      </w:r>
    </w:p>
    <w:p w14:paraId="62B39020" w14:textId="41934AC7" w:rsidR="007362E4" w:rsidRPr="00C27AEC" w:rsidRDefault="007362E4" w:rsidP="007362E4">
      <w:r>
        <w:t xml:space="preserve">The most common age group of employees who intend to leave their agency in less than 5 years is </w:t>
      </w:r>
      <w:proofErr w:type="gramStart"/>
      <w:r>
        <w:t>60 to 64 year old</w:t>
      </w:r>
      <w:proofErr w:type="gramEnd"/>
      <w:r>
        <w:t xml:space="preserve"> employees.</w:t>
      </w:r>
    </w:p>
    <w:p w14:paraId="1DAD11DD" w14:textId="347CFADF" w:rsidR="007362E4" w:rsidRPr="00C27AEC" w:rsidRDefault="007362E4" w:rsidP="007362E4">
      <w:r>
        <w:t xml:space="preserve">The most common salary range of employees who intend to leave their agency in less than 5 years is </w:t>
      </w:r>
      <w:r w:rsidRPr="00C27AEC">
        <w:t>$93</w:t>
      </w:r>
      <w:r>
        <w:t>,000</w:t>
      </w:r>
      <w:r w:rsidRPr="00C27AEC">
        <w:t xml:space="preserve"> </w:t>
      </w:r>
      <w:r>
        <w:t>to</w:t>
      </w:r>
      <w:r w:rsidRPr="00C27AEC">
        <w:t xml:space="preserve"> $107</w:t>
      </w:r>
      <w:r>
        <w:t>,000</w:t>
      </w:r>
      <w:r w:rsidRPr="00C27AEC">
        <w:t xml:space="preserve">, which is </w:t>
      </w:r>
      <w:r>
        <w:t xml:space="preserve">equivalent to </w:t>
      </w:r>
      <w:r w:rsidRPr="00C27AEC">
        <w:t xml:space="preserve">Level 5 </w:t>
      </w:r>
      <w:r>
        <w:t xml:space="preserve">under the </w:t>
      </w:r>
      <w:r w:rsidRPr="00566CA8">
        <w:t>Public Sector CSA Agreement</w:t>
      </w:r>
      <w:r>
        <w:t>.</w:t>
      </w:r>
    </w:p>
    <w:p w14:paraId="139316E4" w14:textId="5DA892AB" w:rsidR="007362E4" w:rsidRPr="00C27AEC" w:rsidRDefault="007362E4" w:rsidP="007362E4">
      <w:r>
        <w:t xml:space="preserve">The most common tenure of employees who intend to leave their agency in less than 5 years is </w:t>
      </w:r>
      <w:r w:rsidRPr="00C27AEC">
        <w:t>5 to less than 11 years</w:t>
      </w:r>
      <w:r>
        <w:t>.</w:t>
      </w:r>
    </w:p>
    <w:p w14:paraId="6DC16539" w14:textId="77777777" w:rsidR="00F17A4B" w:rsidRDefault="00F17A4B" w:rsidP="00805204">
      <w:pPr>
        <w:pStyle w:val="Heading3"/>
      </w:pPr>
      <w:r>
        <w:t xml:space="preserve">Top 3 types of work of those intending to </w:t>
      </w:r>
      <w:proofErr w:type="gramStart"/>
      <w:r>
        <w:t>leave</w:t>
      </w:r>
      <w:proofErr w:type="gramEnd"/>
    </w:p>
    <w:p w14:paraId="4A34A2FA" w14:textId="5BD573B4" w:rsidR="00BC0689" w:rsidRDefault="00BC0689" w:rsidP="00E67942">
      <w:pPr>
        <w:pStyle w:val="ListParagraph"/>
        <w:numPr>
          <w:ilvl w:val="0"/>
          <w:numId w:val="19"/>
        </w:numPr>
      </w:pPr>
      <w:r>
        <w:t>Teaching</w:t>
      </w:r>
    </w:p>
    <w:p w14:paraId="713EEA1D" w14:textId="262B249F" w:rsidR="00F17A4B" w:rsidRDefault="00F17A4B" w:rsidP="00E67942">
      <w:pPr>
        <w:pStyle w:val="ListParagraph"/>
        <w:numPr>
          <w:ilvl w:val="0"/>
          <w:numId w:val="19"/>
        </w:numPr>
      </w:pPr>
      <w:r>
        <w:t>Administrative support</w:t>
      </w:r>
    </w:p>
    <w:p w14:paraId="15A85379" w14:textId="42A02C6B" w:rsidR="00F17A4B" w:rsidRDefault="00F17A4B" w:rsidP="00E67942">
      <w:pPr>
        <w:pStyle w:val="ListParagraph"/>
        <w:numPr>
          <w:ilvl w:val="0"/>
          <w:numId w:val="19"/>
        </w:numPr>
      </w:pPr>
      <w:r>
        <w:t>Project management and support</w:t>
      </w:r>
      <w:r w:rsidR="007362E4">
        <w:t>.</w:t>
      </w:r>
    </w:p>
    <w:p w14:paraId="75970306" w14:textId="77777777" w:rsidR="00F17A4B" w:rsidRDefault="00F17A4B" w:rsidP="00805204">
      <w:pPr>
        <w:pStyle w:val="Heading3"/>
      </w:pPr>
      <w:r>
        <w:t xml:space="preserve">Top 3 reasons of those intending to </w:t>
      </w:r>
      <w:proofErr w:type="gramStart"/>
      <w:r>
        <w:t>leave</w:t>
      </w:r>
      <w:proofErr w:type="gramEnd"/>
    </w:p>
    <w:p w14:paraId="3D5BF49E" w14:textId="3F5ECCB8" w:rsidR="00F17A4B" w:rsidRDefault="00F17A4B" w:rsidP="00E67942">
      <w:pPr>
        <w:pStyle w:val="ListParagraph"/>
        <w:numPr>
          <w:ilvl w:val="0"/>
          <w:numId w:val="20"/>
        </w:numPr>
      </w:pPr>
      <w:r>
        <w:t>Career and job opportunities</w:t>
      </w:r>
    </w:p>
    <w:p w14:paraId="640AD97D" w14:textId="77B43059" w:rsidR="00BC0689" w:rsidRDefault="00BC0689" w:rsidP="00E67942">
      <w:pPr>
        <w:pStyle w:val="ListParagraph"/>
        <w:numPr>
          <w:ilvl w:val="0"/>
          <w:numId w:val="20"/>
        </w:numPr>
      </w:pPr>
      <w:r>
        <w:t>Work</w:t>
      </w:r>
      <w:r w:rsidR="00811E66">
        <w:t>-</w:t>
      </w:r>
      <w:r>
        <w:t>life balance</w:t>
      </w:r>
    </w:p>
    <w:p w14:paraId="0BC4198F" w14:textId="0CEF00E5" w:rsidR="00F17A4B" w:rsidRDefault="00F17A4B" w:rsidP="00E67942">
      <w:pPr>
        <w:pStyle w:val="ListParagraph"/>
        <w:numPr>
          <w:ilvl w:val="0"/>
          <w:numId w:val="20"/>
        </w:numPr>
      </w:pPr>
      <w:r>
        <w:t>Organisation leadership</w:t>
      </w:r>
      <w:r w:rsidR="00811E66">
        <w:t xml:space="preserve"> and </w:t>
      </w:r>
      <w:r>
        <w:t>culture</w:t>
      </w:r>
      <w:r w:rsidR="007362E4">
        <w:t>.</w:t>
      </w:r>
    </w:p>
    <w:p w14:paraId="315FEA93" w14:textId="0734926C" w:rsidR="00F17A4B" w:rsidRDefault="00F17A4B" w:rsidP="00805204">
      <w:pPr>
        <w:pStyle w:val="Heading3"/>
      </w:pPr>
      <w:r>
        <w:t>Top reasons to leave for female and male</w:t>
      </w:r>
      <w:r w:rsidR="007362E4">
        <w:t xml:space="preserve"> </w:t>
      </w:r>
      <w:proofErr w:type="gramStart"/>
      <w:r w:rsidR="007362E4">
        <w:t>employee</w:t>
      </w:r>
      <w:r>
        <w:t>s</w:t>
      </w:r>
      <w:proofErr w:type="gramEnd"/>
    </w:p>
    <w:p w14:paraId="3861FBBE" w14:textId="7E82ED5D" w:rsidR="6C8C82E2" w:rsidRDefault="007362E4" w:rsidP="00805204">
      <w:r>
        <w:t>The top reason to leave an agency within the next 5 years for both male and female employees is career and job opportunities.</w:t>
      </w:r>
    </w:p>
    <w:p w14:paraId="30EA7B7E" w14:textId="7A2B99F9" w:rsidR="3B04A42C" w:rsidRDefault="3B04A42C" w:rsidP="00805204">
      <w:pPr>
        <w:pStyle w:val="Heading3"/>
      </w:pPr>
      <w:r>
        <w:t>Of those intending to leave in less than 5 years</w:t>
      </w:r>
    </w:p>
    <w:p w14:paraId="622F8472" w14:textId="50ED5E78" w:rsidR="00F17A4B" w:rsidRDefault="008E7EE8" w:rsidP="00F17A4B">
      <w:r>
        <w:t>1</w:t>
      </w:r>
      <w:r w:rsidR="00F17A4B">
        <w:t>3,</w:t>
      </w:r>
      <w:r>
        <w:t>3</w:t>
      </w:r>
      <w:r w:rsidR="00F17A4B">
        <w:t>95 employees, which is 7</w:t>
      </w:r>
      <w:r>
        <w:t>0</w:t>
      </w:r>
      <w:r w:rsidR="00F17A4B">
        <w:t>.</w:t>
      </w:r>
      <w:r>
        <w:t>5</w:t>
      </w:r>
      <w:r w:rsidR="00F17A4B">
        <w:t xml:space="preserve">% of those intending to leave in less than </w:t>
      </w:r>
      <w:r w:rsidR="00F379CF">
        <w:t>5 years</w:t>
      </w:r>
      <w:r w:rsidR="00F17A4B">
        <w:t>, did not receiv</w:t>
      </w:r>
      <w:r w:rsidR="00057030">
        <w:t>e</w:t>
      </w:r>
      <w:r w:rsidR="00F17A4B">
        <w:t xml:space="preserve"> feedback about their performance.</w:t>
      </w:r>
    </w:p>
    <w:p w14:paraId="53F8FCF4" w14:textId="14F6FA3E" w:rsidR="00F17A4B" w:rsidRDefault="002055AE" w:rsidP="00F17A4B">
      <w:r>
        <w:t>5,361</w:t>
      </w:r>
      <w:r w:rsidR="00F17A4B">
        <w:t xml:space="preserve"> employees, which is </w:t>
      </w:r>
      <w:r>
        <w:t>27</w:t>
      </w:r>
      <w:r w:rsidR="00F17A4B">
        <w:t>.</w:t>
      </w:r>
      <w:r>
        <w:t>9</w:t>
      </w:r>
      <w:r w:rsidR="00F17A4B">
        <w:t xml:space="preserve">% of those intending to leave in less than </w:t>
      </w:r>
      <w:r w:rsidR="00F379CF">
        <w:t>5 years</w:t>
      </w:r>
      <w:r w:rsidR="00F17A4B">
        <w:t>, experienced bullying and or harassment.</w:t>
      </w:r>
    </w:p>
    <w:p w14:paraId="120CF9EE" w14:textId="43D3ECC8" w:rsidR="00F17A4B" w:rsidRDefault="002055AE" w:rsidP="00F17A4B">
      <w:r>
        <w:lastRenderedPageBreak/>
        <w:t>6,306</w:t>
      </w:r>
      <w:r w:rsidR="00F17A4B">
        <w:t xml:space="preserve"> employees, which is </w:t>
      </w:r>
      <w:r>
        <w:t>32.8</w:t>
      </w:r>
      <w:r w:rsidR="00F17A4B">
        <w:t xml:space="preserve">% of those intending to leave in less than </w:t>
      </w:r>
      <w:r w:rsidR="00F379CF">
        <w:t>5 years</w:t>
      </w:r>
      <w:r w:rsidR="00F17A4B">
        <w:t>, are applying for jobs outside the public sector and or their agency.</w:t>
      </w:r>
    </w:p>
    <w:p w14:paraId="16DCD869" w14:textId="77777777" w:rsidR="00F17A4B" w:rsidRDefault="00F17A4B" w:rsidP="00805204">
      <w:pPr>
        <w:pStyle w:val="Heading3"/>
      </w:pPr>
      <w:r>
        <w:t>Regional breakdown</w:t>
      </w:r>
    </w:p>
    <w:p w14:paraId="3166E96B" w14:textId="67F9DEB8" w:rsidR="00F17A4B" w:rsidRDefault="002055AE" w:rsidP="00F17A4B">
      <w:r>
        <w:t>12,722</w:t>
      </w:r>
      <w:r w:rsidR="00F17A4B">
        <w:t xml:space="preserve"> employees, which is </w:t>
      </w:r>
      <w:r>
        <w:t>40.6</w:t>
      </w:r>
      <w:r w:rsidR="00F17A4B">
        <w:t>%</w:t>
      </w:r>
      <w:r w:rsidR="00F17A4B" w:rsidRPr="00902568">
        <w:t xml:space="preserve"> </w:t>
      </w:r>
      <w:r w:rsidR="0088286E">
        <w:t>metropolitan</w:t>
      </w:r>
      <w:r w:rsidR="00F17A4B">
        <w:t xml:space="preserve"> </w:t>
      </w:r>
      <w:r w:rsidR="004C227A">
        <w:t>employees</w:t>
      </w:r>
      <w:r w:rsidR="00F17A4B">
        <w:t xml:space="preserve">, intend to leave their agency in less than </w:t>
      </w:r>
      <w:r w:rsidR="00F379CF">
        <w:t>5 years</w:t>
      </w:r>
      <w:r w:rsidR="00F17A4B">
        <w:t>.</w:t>
      </w:r>
    </w:p>
    <w:p w14:paraId="54158D54" w14:textId="650F0262" w:rsidR="00F17A4B" w:rsidRDefault="002055AE" w:rsidP="00F17A4B">
      <w:r>
        <w:t>3,113</w:t>
      </w:r>
      <w:r w:rsidR="00F17A4B">
        <w:t xml:space="preserve"> employees, which is </w:t>
      </w:r>
      <w:r>
        <w:t>3</w:t>
      </w:r>
      <w:r w:rsidR="00F17A4B">
        <w:t>8.</w:t>
      </w:r>
      <w:r>
        <w:t>4</w:t>
      </w:r>
      <w:r w:rsidR="00F17A4B">
        <w:t>%</w:t>
      </w:r>
      <w:r w:rsidR="00F17A4B" w:rsidRPr="00902568">
        <w:t xml:space="preserve"> </w:t>
      </w:r>
      <w:r w:rsidR="00F17A4B">
        <w:t xml:space="preserve">of regional </w:t>
      </w:r>
      <w:r w:rsidR="004C227A">
        <w:t>employees</w:t>
      </w:r>
      <w:r w:rsidR="00F17A4B">
        <w:t xml:space="preserve">, intend to leave their agency in less than </w:t>
      </w:r>
      <w:r w:rsidR="00F379CF">
        <w:t>5 years</w:t>
      </w:r>
      <w:r w:rsidR="00F17A4B">
        <w:t>.</w:t>
      </w:r>
    </w:p>
    <w:p w14:paraId="5E203D60" w14:textId="2B8F05D4" w:rsidR="0052045E" w:rsidRDefault="0052045E" w:rsidP="0052045E">
      <w:pPr>
        <w:pStyle w:val="Heading2"/>
      </w:pPr>
      <w:r>
        <w:t xml:space="preserve">Intention to </w:t>
      </w:r>
      <w:proofErr w:type="gramStart"/>
      <w:r>
        <w:t>stay</w:t>
      </w:r>
      <w:proofErr w:type="gramEnd"/>
    </w:p>
    <w:p w14:paraId="1D998511" w14:textId="7CC66ABA" w:rsidR="002856FD" w:rsidRDefault="002856FD" w:rsidP="002856FD">
      <w:r>
        <w:t>25,738 employees, which is 54.6% of the sector, intend to stay in their agency for the next 5 years.</w:t>
      </w:r>
    </w:p>
    <w:p w14:paraId="6873EE53" w14:textId="67F3EBDE" w:rsidR="006D41D6" w:rsidRDefault="00975A36" w:rsidP="00805204">
      <w:pPr>
        <w:pStyle w:val="Heading3"/>
      </w:pPr>
      <w:r>
        <w:t xml:space="preserve">Public Sector tenure of those intending to </w:t>
      </w:r>
      <w:proofErr w:type="gramStart"/>
      <w:r>
        <w:t>stay</w:t>
      </w:r>
      <w:proofErr w:type="gramEnd"/>
    </w:p>
    <w:p w14:paraId="6B666004" w14:textId="589EEDF5" w:rsidR="00E35E2E" w:rsidRPr="00C27AEC" w:rsidRDefault="00E35E2E" w:rsidP="00E35E2E">
      <w:r>
        <w:t>2,070</w:t>
      </w:r>
      <w:r w:rsidRPr="00C27AEC">
        <w:t xml:space="preserve"> employees </w:t>
      </w:r>
      <w:r w:rsidR="008830D0">
        <w:t xml:space="preserve">have </w:t>
      </w:r>
      <w:r w:rsidR="00CF0D9A">
        <w:t>a tenure of less than 1 year</w:t>
      </w:r>
      <w:r w:rsidRPr="00C27AEC">
        <w:t xml:space="preserve">, which is </w:t>
      </w:r>
      <w:r w:rsidR="008830D0">
        <w:t>8.0</w:t>
      </w:r>
      <w:r w:rsidRPr="00C27AEC">
        <w:t xml:space="preserve">% of </w:t>
      </w:r>
      <w:r w:rsidR="00CF0D9A">
        <w:t>those intending to stay</w:t>
      </w:r>
      <w:r w:rsidR="008E20D6">
        <w:t xml:space="preserve"> at their agency</w:t>
      </w:r>
      <w:r w:rsidRPr="00C27AEC">
        <w:t>.</w:t>
      </w:r>
    </w:p>
    <w:p w14:paraId="4E892A65" w14:textId="3FD63B56" w:rsidR="00CF0D9A" w:rsidRPr="00C27AEC" w:rsidRDefault="00CF0D9A" w:rsidP="00CF0D9A">
      <w:r>
        <w:t>3,165</w:t>
      </w:r>
      <w:r w:rsidRPr="00C27AEC">
        <w:t xml:space="preserve"> employees </w:t>
      </w:r>
      <w:r>
        <w:t xml:space="preserve">have a tenure of </w:t>
      </w:r>
      <w:r w:rsidR="00E12D45">
        <w:t xml:space="preserve">between </w:t>
      </w:r>
      <w:r>
        <w:t>1</w:t>
      </w:r>
      <w:r w:rsidR="00E12D45">
        <w:t xml:space="preserve"> and 3</w:t>
      </w:r>
      <w:r>
        <w:t xml:space="preserve"> year</w:t>
      </w:r>
      <w:r w:rsidR="00E12D45">
        <w:t>s</w:t>
      </w:r>
      <w:r w:rsidRPr="00C27AEC">
        <w:t xml:space="preserve">, which is </w:t>
      </w:r>
      <w:r w:rsidR="00E12D45">
        <w:t>12</w:t>
      </w:r>
      <w:r>
        <w:t>.</w:t>
      </w:r>
      <w:r w:rsidR="00E12D45">
        <w:t>3</w:t>
      </w:r>
      <w:r w:rsidRPr="00C27AEC">
        <w:t xml:space="preserve">% of </w:t>
      </w:r>
      <w:r>
        <w:t>those intending to stay</w:t>
      </w:r>
      <w:r w:rsidR="008E20D6" w:rsidRPr="008E20D6">
        <w:t xml:space="preserve"> </w:t>
      </w:r>
      <w:r w:rsidR="008E20D6">
        <w:t>at their agency</w:t>
      </w:r>
      <w:r w:rsidRPr="00C27AEC">
        <w:t>.</w:t>
      </w:r>
    </w:p>
    <w:p w14:paraId="7CEF8B2B" w14:textId="1368F13C" w:rsidR="00CF0D9A" w:rsidRPr="00C27AEC" w:rsidRDefault="00E12D45" w:rsidP="00CF0D9A">
      <w:r>
        <w:t>2,511</w:t>
      </w:r>
      <w:r w:rsidR="00CF0D9A" w:rsidRPr="00C27AEC">
        <w:t xml:space="preserve"> employees </w:t>
      </w:r>
      <w:r w:rsidR="00CF0D9A">
        <w:t xml:space="preserve">have a tenure of </w:t>
      </w:r>
      <w:r>
        <w:t xml:space="preserve">between </w:t>
      </w:r>
      <w:r w:rsidR="00C341C3">
        <w:t>3 and 5</w:t>
      </w:r>
      <w:r w:rsidR="00CF0D9A">
        <w:t xml:space="preserve"> year</w:t>
      </w:r>
      <w:r w:rsidR="00C341C3">
        <w:t>s</w:t>
      </w:r>
      <w:r w:rsidR="00CF0D9A" w:rsidRPr="00C27AEC">
        <w:t xml:space="preserve">, which is </w:t>
      </w:r>
      <w:r w:rsidR="00C341C3">
        <w:t>9</w:t>
      </w:r>
      <w:r w:rsidR="00CF0D9A">
        <w:t>.</w:t>
      </w:r>
      <w:r w:rsidR="00C341C3">
        <w:t>8</w:t>
      </w:r>
      <w:r w:rsidR="00CF0D9A" w:rsidRPr="00C27AEC">
        <w:t xml:space="preserve">% of </w:t>
      </w:r>
      <w:r w:rsidR="00CF0D9A">
        <w:t>those intending to stay</w:t>
      </w:r>
      <w:r w:rsidR="008E20D6" w:rsidRPr="008E20D6">
        <w:t xml:space="preserve"> </w:t>
      </w:r>
      <w:r w:rsidR="008E20D6">
        <w:t>at their agency</w:t>
      </w:r>
      <w:r w:rsidR="00CF0D9A" w:rsidRPr="00C27AEC">
        <w:t>.</w:t>
      </w:r>
    </w:p>
    <w:p w14:paraId="7DBF1A01" w14:textId="1D371A8A" w:rsidR="00CF0D9A" w:rsidRPr="00C27AEC" w:rsidRDefault="00C341C3" w:rsidP="00CF0D9A">
      <w:r>
        <w:t>5,318</w:t>
      </w:r>
      <w:r w:rsidR="00CF0D9A" w:rsidRPr="00C27AEC">
        <w:t xml:space="preserve"> employees </w:t>
      </w:r>
      <w:r w:rsidR="00CF0D9A">
        <w:t xml:space="preserve">have a tenure of </w:t>
      </w:r>
      <w:r>
        <w:t>between 5 and 11 years</w:t>
      </w:r>
      <w:r w:rsidR="00CF0D9A" w:rsidRPr="00C27AEC">
        <w:t xml:space="preserve">, which is </w:t>
      </w:r>
      <w:r>
        <w:t>20.7</w:t>
      </w:r>
      <w:r w:rsidR="00CF0D9A" w:rsidRPr="00C27AEC">
        <w:t xml:space="preserve">% of </w:t>
      </w:r>
      <w:r w:rsidR="00CF0D9A">
        <w:t>those intending to stay</w:t>
      </w:r>
      <w:r w:rsidR="008E20D6" w:rsidRPr="008E20D6">
        <w:t xml:space="preserve"> </w:t>
      </w:r>
      <w:r w:rsidR="008E20D6">
        <w:t>at their agency</w:t>
      </w:r>
      <w:r w:rsidR="00CF0D9A" w:rsidRPr="00C27AEC">
        <w:t>.</w:t>
      </w:r>
    </w:p>
    <w:p w14:paraId="0ABB944C" w14:textId="70C38676" w:rsidR="00CF0D9A" w:rsidRDefault="00C60734" w:rsidP="00CF0D9A">
      <w:r>
        <w:t xml:space="preserve">12,674 </w:t>
      </w:r>
      <w:r w:rsidR="00CF0D9A" w:rsidRPr="00C27AEC">
        <w:t xml:space="preserve">employees </w:t>
      </w:r>
      <w:r w:rsidR="00CF0D9A">
        <w:t xml:space="preserve">have a tenure of </w:t>
      </w:r>
      <w:r>
        <w:t xml:space="preserve">more </w:t>
      </w:r>
      <w:r w:rsidR="00CF0D9A">
        <w:t>than 1</w:t>
      </w:r>
      <w:r>
        <w:t>1</w:t>
      </w:r>
      <w:r w:rsidR="00CF0D9A">
        <w:t xml:space="preserve"> year</w:t>
      </w:r>
      <w:r>
        <w:t>s</w:t>
      </w:r>
      <w:r w:rsidR="00CF0D9A" w:rsidRPr="00C27AEC">
        <w:t xml:space="preserve">, which is </w:t>
      </w:r>
      <w:r w:rsidR="00C341C3">
        <w:t>49.2</w:t>
      </w:r>
      <w:r w:rsidR="00CF0D9A" w:rsidRPr="00C27AEC">
        <w:t xml:space="preserve">% of </w:t>
      </w:r>
      <w:r w:rsidR="00CF0D9A">
        <w:t>those intending to stay</w:t>
      </w:r>
      <w:r w:rsidR="008E20D6" w:rsidRPr="008E20D6">
        <w:t xml:space="preserve"> </w:t>
      </w:r>
      <w:r w:rsidR="008E20D6">
        <w:t>at their agency</w:t>
      </w:r>
      <w:r w:rsidR="00CF0D9A" w:rsidRPr="00C27AEC">
        <w:t>.</w:t>
      </w:r>
    </w:p>
    <w:p w14:paraId="53F34FEF" w14:textId="77777777" w:rsidR="002612D4" w:rsidRPr="00534933" w:rsidRDefault="002612D4" w:rsidP="00805204">
      <w:pPr>
        <w:pStyle w:val="Heading3"/>
      </w:pPr>
      <w:r>
        <w:t>Gender breakdown</w:t>
      </w:r>
    </w:p>
    <w:p w14:paraId="384E666E" w14:textId="1FF0922B" w:rsidR="002612D4" w:rsidRDefault="00166286" w:rsidP="002612D4">
      <w:r>
        <w:t>17</w:t>
      </w:r>
      <w:r w:rsidR="002612D4">
        <w:t>,</w:t>
      </w:r>
      <w:r>
        <w:t>261</w:t>
      </w:r>
      <w:r w:rsidR="002612D4">
        <w:t xml:space="preserve"> female employees, which is </w:t>
      </w:r>
      <w:r>
        <w:t>56</w:t>
      </w:r>
      <w:r w:rsidR="002612D4">
        <w:t>.</w:t>
      </w:r>
      <w:r>
        <w:t>3</w:t>
      </w:r>
      <w:r w:rsidR="002612D4">
        <w:t xml:space="preserve">% of </w:t>
      </w:r>
      <w:r w:rsidR="004918CB">
        <w:t xml:space="preserve">all </w:t>
      </w:r>
      <w:r w:rsidR="002612D4">
        <w:t>female</w:t>
      </w:r>
      <w:r w:rsidR="004918CB">
        <w:t xml:space="preserve"> employee</w:t>
      </w:r>
      <w:r w:rsidR="002612D4">
        <w:t xml:space="preserve">s, intend </w:t>
      </w:r>
      <w:r>
        <w:t xml:space="preserve">to stay at their </w:t>
      </w:r>
      <w:r w:rsidR="006B7E4D">
        <w:t>agency for the next 5 years</w:t>
      </w:r>
      <w:r w:rsidR="002612D4">
        <w:t>.</w:t>
      </w:r>
    </w:p>
    <w:p w14:paraId="32BC654D" w14:textId="68C7A5E1" w:rsidR="002612D4" w:rsidRDefault="006B7E4D" w:rsidP="002612D4">
      <w:r>
        <w:t>8</w:t>
      </w:r>
      <w:r w:rsidR="002612D4">
        <w:t>,</w:t>
      </w:r>
      <w:r>
        <w:t xml:space="preserve">043 </w:t>
      </w:r>
      <w:r w:rsidR="002612D4">
        <w:t xml:space="preserve">male employees, which is </w:t>
      </w:r>
      <w:r>
        <w:t>52</w:t>
      </w:r>
      <w:r w:rsidR="002612D4">
        <w:t>.</w:t>
      </w:r>
      <w:r>
        <w:t>1</w:t>
      </w:r>
      <w:r w:rsidR="002612D4">
        <w:t xml:space="preserve">% of males, </w:t>
      </w:r>
      <w:r>
        <w:t>intend to stay at their agency for the next 5 years.</w:t>
      </w:r>
    </w:p>
    <w:p w14:paraId="2EB8A13C" w14:textId="78EAACA6" w:rsidR="00215B3F" w:rsidRDefault="00215B3F" w:rsidP="002612D4">
      <w:r>
        <w:t xml:space="preserve">The most common age group for </w:t>
      </w:r>
      <w:r w:rsidR="00173AF4">
        <w:t xml:space="preserve">both female and male employees who </w:t>
      </w:r>
      <w:r>
        <w:t>intend to stay is 50 to 54 years.</w:t>
      </w:r>
    </w:p>
    <w:p w14:paraId="0F9CEFB2" w14:textId="7F715875" w:rsidR="00215B3F" w:rsidRDefault="00B46252" w:rsidP="00805204">
      <w:pPr>
        <w:pStyle w:val="Heading3"/>
      </w:pPr>
      <w:r>
        <w:t xml:space="preserve">Salary range of those intending to </w:t>
      </w:r>
      <w:proofErr w:type="gramStart"/>
      <w:r>
        <w:t>stay</w:t>
      </w:r>
      <w:proofErr w:type="gramEnd"/>
    </w:p>
    <w:p w14:paraId="3EC75BB8" w14:textId="7C1BE469" w:rsidR="00524726" w:rsidRPr="00C27AEC" w:rsidRDefault="007F6382" w:rsidP="00524726">
      <w:r>
        <w:t>5,461</w:t>
      </w:r>
      <w:r w:rsidR="00524726" w:rsidRPr="00C27AEC">
        <w:t xml:space="preserve"> employees </w:t>
      </w:r>
      <w:r w:rsidR="00524726">
        <w:t xml:space="preserve">have a </w:t>
      </w:r>
      <w:r w:rsidR="006F07B1">
        <w:t>salary</w:t>
      </w:r>
      <w:r w:rsidR="00524726">
        <w:t xml:space="preserve"> of less than </w:t>
      </w:r>
      <w:r w:rsidR="00B808EC">
        <w:t>$</w:t>
      </w:r>
      <w:r w:rsidR="006F07B1">
        <w:t>76,026</w:t>
      </w:r>
      <w:r w:rsidR="00524726" w:rsidRPr="00C27AEC">
        <w:t xml:space="preserve">, which is </w:t>
      </w:r>
      <w:r w:rsidR="006F07B1">
        <w:t>22.7</w:t>
      </w:r>
      <w:r w:rsidR="00524726" w:rsidRPr="00C27AEC">
        <w:t xml:space="preserve">% of </w:t>
      </w:r>
      <w:r w:rsidR="00524726">
        <w:t>those intending to stay</w:t>
      </w:r>
      <w:r w:rsidR="00524726" w:rsidRPr="00C27AEC">
        <w:t>.</w:t>
      </w:r>
    </w:p>
    <w:p w14:paraId="011674F2" w14:textId="0CBF33E5" w:rsidR="00524726" w:rsidRPr="00C27AEC" w:rsidRDefault="00B808EC" w:rsidP="00524726">
      <w:r>
        <w:t xml:space="preserve">10,467 </w:t>
      </w:r>
      <w:r w:rsidR="00524726" w:rsidRPr="00C27AEC">
        <w:t xml:space="preserve">employees </w:t>
      </w:r>
      <w:r>
        <w:t>have a salary of</w:t>
      </w:r>
      <w:r w:rsidR="00116148">
        <w:t xml:space="preserve"> between $76,026 and $107,095</w:t>
      </w:r>
      <w:r w:rsidR="00524726" w:rsidRPr="00C27AEC">
        <w:t xml:space="preserve">, which is </w:t>
      </w:r>
      <w:r w:rsidR="00116148">
        <w:t>43.5</w:t>
      </w:r>
      <w:r w:rsidR="00524726" w:rsidRPr="00C27AEC">
        <w:t xml:space="preserve">% of </w:t>
      </w:r>
      <w:r w:rsidR="00524726">
        <w:t>those intending to stay</w:t>
      </w:r>
      <w:r w:rsidR="00524726" w:rsidRPr="00C27AEC">
        <w:t>.</w:t>
      </w:r>
    </w:p>
    <w:p w14:paraId="559105E2" w14:textId="211696B7" w:rsidR="00524726" w:rsidRPr="00C27AEC" w:rsidRDefault="00116148" w:rsidP="00524726">
      <w:r>
        <w:t>7,363</w:t>
      </w:r>
      <w:r w:rsidR="00524726" w:rsidRPr="00C27AEC">
        <w:t xml:space="preserve"> employees </w:t>
      </w:r>
      <w:r>
        <w:t>have a salary of between $</w:t>
      </w:r>
      <w:r w:rsidR="00F20E70">
        <w:t xml:space="preserve">107,096 </w:t>
      </w:r>
      <w:r>
        <w:t>and $</w:t>
      </w:r>
      <w:r w:rsidR="00F20E70">
        <w:t>160,359</w:t>
      </w:r>
      <w:r w:rsidRPr="00C27AEC">
        <w:t xml:space="preserve">, </w:t>
      </w:r>
      <w:r w:rsidR="00524726" w:rsidRPr="00C27AEC">
        <w:t xml:space="preserve">which is </w:t>
      </w:r>
      <w:r w:rsidR="00F20E70">
        <w:t>30.6</w:t>
      </w:r>
      <w:r w:rsidR="00524726" w:rsidRPr="00C27AEC">
        <w:t xml:space="preserve">% of </w:t>
      </w:r>
      <w:r w:rsidR="00524726">
        <w:t>those intending to stay</w:t>
      </w:r>
      <w:r w:rsidR="00524726" w:rsidRPr="00C27AEC">
        <w:t>.</w:t>
      </w:r>
    </w:p>
    <w:p w14:paraId="379BA21E" w14:textId="7E972651" w:rsidR="00524726" w:rsidRPr="00C27AEC" w:rsidRDefault="00F20E70" w:rsidP="00524726">
      <w:r>
        <w:t xml:space="preserve">489 </w:t>
      </w:r>
      <w:r w:rsidR="00524726" w:rsidRPr="00C27AEC">
        <w:t xml:space="preserve">employees </w:t>
      </w:r>
      <w:r>
        <w:t>have a salary of between $</w:t>
      </w:r>
      <w:r w:rsidR="0077335B">
        <w:t>160</w:t>
      </w:r>
      <w:r>
        <w:t>,</w:t>
      </w:r>
      <w:r w:rsidR="0077335B">
        <w:t xml:space="preserve">360 </w:t>
      </w:r>
      <w:r>
        <w:t>and $</w:t>
      </w:r>
      <w:r w:rsidR="0077335B">
        <w:t>200</w:t>
      </w:r>
      <w:r>
        <w:t>,</w:t>
      </w:r>
      <w:r w:rsidR="0077335B">
        <w:t>566</w:t>
      </w:r>
      <w:r w:rsidRPr="00C27AEC">
        <w:t xml:space="preserve">, </w:t>
      </w:r>
      <w:r w:rsidR="00524726" w:rsidRPr="00C27AEC">
        <w:t xml:space="preserve">which is </w:t>
      </w:r>
      <w:r w:rsidR="0077335B">
        <w:t>2.0</w:t>
      </w:r>
      <w:r w:rsidR="00524726" w:rsidRPr="00C27AEC">
        <w:t xml:space="preserve">% of </w:t>
      </w:r>
      <w:r w:rsidR="00524726">
        <w:t>those intending to stay</w:t>
      </w:r>
      <w:r w:rsidR="00524726" w:rsidRPr="00C27AEC">
        <w:t>.</w:t>
      </w:r>
    </w:p>
    <w:p w14:paraId="3A298A88" w14:textId="223883AF" w:rsidR="00E35E2E" w:rsidRDefault="0077335B" w:rsidP="00CF0D9A">
      <w:r>
        <w:t xml:space="preserve">269 </w:t>
      </w:r>
      <w:r w:rsidRPr="00C27AEC">
        <w:t xml:space="preserve">employees </w:t>
      </w:r>
      <w:r>
        <w:t>have a salary of more than $200,566</w:t>
      </w:r>
      <w:r w:rsidRPr="00C27AEC">
        <w:t xml:space="preserve">, which is </w:t>
      </w:r>
      <w:r>
        <w:t>1.1</w:t>
      </w:r>
      <w:r w:rsidRPr="00C27AEC">
        <w:t xml:space="preserve">% of </w:t>
      </w:r>
      <w:r>
        <w:t>those intending to stay</w:t>
      </w:r>
      <w:r w:rsidRPr="00C27AEC">
        <w:t>.</w:t>
      </w:r>
    </w:p>
    <w:p w14:paraId="552D5887" w14:textId="49EA8B50" w:rsidR="0077335B" w:rsidRDefault="005D74A9" w:rsidP="00805204">
      <w:pPr>
        <w:pStyle w:val="Heading3"/>
      </w:pPr>
      <w:r>
        <w:lastRenderedPageBreak/>
        <w:t xml:space="preserve">Top 3 types of work of those intending to </w:t>
      </w:r>
      <w:proofErr w:type="gramStart"/>
      <w:r>
        <w:t>stay</w:t>
      </w:r>
      <w:proofErr w:type="gramEnd"/>
    </w:p>
    <w:p w14:paraId="3FF424D6" w14:textId="74A1BDD2" w:rsidR="005D74A9" w:rsidRDefault="005D74A9" w:rsidP="00E67942">
      <w:pPr>
        <w:pStyle w:val="ListParagraph"/>
        <w:numPr>
          <w:ilvl w:val="0"/>
          <w:numId w:val="22"/>
        </w:numPr>
      </w:pPr>
      <w:r>
        <w:t>Teaching, lecturing, training, vocational support</w:t>
      </w:r>
    </w:p>
    <w:p w14:paraId="58158F81" w14:textId="2F23D7A9" w:rsidR="005D74A9" w:rsidRDefault="005D74A9" w:rsidP="00E67942">
      <w:pPr>
        <w:pStyle w:val="ListParagraph"/>
        <w:numPr>
          <w:ilvl w:val="0"/>
          <w:numId w:val="22"/>
        </w:numPr>
      </w:pPr>
      <w:r>
        <w:t>Administrative support</w:t>
      </w:r>
    </w:p>
    <w:p w14:paraId="02FD4ED2" w14:textId="383ABD1E" w:rsidR="005D74A9" w:rsidRDefault="005D74A9" w:rsidP="00E67942">
      <w:pPr>
        <w:pStyle w:val="ListParagraph"/>
        <w:numPr>
          <w:ilvl w:val="0"/>
          <w:numId w:val="22"/>
        </w:numPr>
      </w:pPr>
      <w:r>
        <w:t xml:space="preserve">Project </w:t>
      </w:r>
      <w:r w:rsidR="00D44505">
        <w:t>management, project support</w:t>
      </w:r>
      <w:r w:rsidR="00026F57">
        <w:t>.</w:t>
      </w:r>
    </w:p>
    <w:p w14:paraId="1BBECF95" w14:textId="686B27C9" w:rsidR="00E44729" w:rsidRDefault="00E44729" w:rsidP="00805204">
      <w:pPr>
        <w:pStyle w:val="Heading3"/>
      </w:pPr>
      <w:r>
        <w:t xml:space="preserve">Top 3 reasons of those intending to </w:t>
      </w:r>
      <w:proofErr w:type="gramStart"/>
      <w:r>
        <w:t>stay</w:t>
      </w:r>
      <w:proofErr w:type="gramEnd"/>
    </w:p>
    <w:p w14:paraId="17D51FAC" w14:textId="383360C6" w:rsidR="00D44505" w:rsidRDefault="00E44729" w:rsidP="00E67942">
      <w:pPr>
        <w:pStyle w:val="ListParagraph"/>
        <w:numPr>
          <w:ilvl w:val="0"/>
          <w:numId w:val="21"/>
        </w:numPr>
      </w:pPr>
      <w:r>
        <w:t>I like my job</w:t>
      </w:r>
      <w:r w:rsidR="00811E66">
        <w:t xml:space="preserve"> or </w:t>
      </w:r>
      <w:r>
        <w:t xml:space="preserve">interesting </w:t>
      </w:r>
      <w:proofErr w:type="gramStart"/>
      <w:r>
        <w:t>work</w:t>
      </w:r>
      <w:proofErr w:type="gramEnd"/>
    </w:p>
    <w:p w14:paraId="1D59EEDB" w14:textId="1B87D36E" w:rsidR="00E44729" w:rsidRDefault="00E44729" w:rsidP="00E67942">
      <w:pPr>
        <w:pStyle w:val="ListParagraph"/>
        <w:numPr>
          <w:ilvl w:val="0"/>
          <w:numId w:val="21"/>
        </w:numPr>
      </w:pPr>
      <w:r>
        <w:t>Job security</w:t>
      </w:r>
    </w:p>
    <w:p w14:paraId="58A03F3E" w14:textId="60DDED59" w:rsidR="00E44729" w:rsidRDefault="00E44729" w:rsidP="00E67942">
      <w:pPr>
        <w:pStyle w:val="ListParagraph"/>
        <w:numPr>
          <w:ilvl w:val="0"/>
          <w:numId w:val="21"/>
        </w:numPr>
      </w:pPr>
      <w:r>
        <w:t>Financial</w:t>
      </w:r>
      <w:r w:rsidR="00811E66">
        <w:t xml:space="preserve"> or </w:t>
      </w:r>
      <w:r>
        <w:t>pay</w:t>
      </w:r>
      <w:r w:rsidR="00026F57">
        <w:t>.</w:t>
      </w:r>
    </w:p>
    <w:p w14:paraId="3162A4C8" w14:textId="2D6EBE9B" w:rsidR="00E66033" w:rsidRDefault="00E66033" w:rsidP="00805204">
      <w:pPr>
        <w:pStyle w:val="Heading3"/>
      </w:pPr>
      <w:r w:rsidRPr="00E67942">
        <w:t xml:space="preserve">Top reason to stay based on </w:t>
      </w:r>
      <w:proofErr w:type="gramStart"/>
      <w:r w:rsidRPr="00E67942">
        <w:t>gender</w:t>
      </w:r>
      <w:proofErr w:type="gramEnd"/>
    </w:p>
    <w:p w14:paraId="5689CD7E" w14:textId="69B38837" w:rsidR="00E66033" w:rsidRDefault="00CF537F" w:rsidP="00E66033">
      <w:r>
        <w:t>The top reason to stay with an agency for the next 5 years for both male and female employees is</w:t>
      </w:r>
      <w:r w:rsidR="001B586F">
        <w:t xml:space="preserve"> </w:t>
      </w:r>
      <w:r w:rsidR="00EA2A26">
        <w:t>I like my jo</w:t>
      </w:r>
      <w:r w:rsidR="00811E66">
        <w:t xml:space="preserve">b or </w:t>
      </w:r>
      <w:r w:rsidR="00EA2A26">
        <w:t>interesting work</w:t>
      </w:r>
      <w:r w:rsidR="001B586F">
        <w:t>.</w:t>
      </w:r>
    </w:p>
    <w:p w14:paraId="43721317" w14:textId="1EBFDF36" w:rsidR="002B6DA7" w:rsidRDefault="008F5826" w:rsidP="00805204">
      <w:pPr>
        <w:pStyle w:val="Heading3"/>
      </w:pPr>
      <w:r>
        <w:t>Compared to those intending to leave, those intending to stay are</w:t>
      </w:r>
    </w:p>
    <w:p w14:paraId="6F5A4036" w14:textId="68E7A10C" w:rsidR="002B6DA7" w:rsidRDefault="001B586F" w:rsidP="00E66033">
      <w:r>
        <w:t>Those employees intending to stay are m</w:t>
      </w:r>
      <w:r w:rsidR="00DE10E6">
        <w:t xml:space="preserve">ore likely to be younger, </w:t>
      </w:r>
      <w:r>
        <w:t xml:space="preserve">aged </w:t>
      </w:r>
      <w:r w:rsidR="00DE10E6">
        <w:t xml:space="preserve">50 to 54 years </w:t>
      </w:r>
      <w:r>
        <w:t xml:space="preserve">old, </w:t>
      </w:r>
      <w:r w:rsidR="00DE10E6">
        <w:t xml:space="preserve">compared to </w:t>
      </w:r>
      <w:r>
        <w:t xml:space="preserve">those intending to leave aged </w:t>
      </w:r>
      <w:r w:rsidR="00DE10E6">
        <w:t>60 to 64 years</w:t>
      </w:r>
      <w:r>
        <w:t xml:space="preserve"> old</w:t>
      </w:r>
      <w:r w:rsidR="00952886">
        <w:t>.</w:t>
      </w:r>
    </w:p>
    <w:p w14:paraId="2511E801" w14:textId="39897203" w:rsidR="00DE10E6" w:rsidRDefault="001B586F" w:rsidP="00E66033">
      <w:r>
        <w:t>Those employees intending to stay are m</w:t>
      </w:r>
      <w:r w:rsidR="00DE10E6">
        <w:t xml:space="preserve">ore likely to be acting </w:t>
      </w:r>
      <w:r>
        <w:t xml:space="preserve">in </w:t>
      </w:r>
      <w:r w:rsidR="00DE10E6">
        <w:t>another role</w:t>
      </w:r>
      <w:r>
        <w:t xml:space="preserve"> at</w:t>
      </w:r>
      <w:r w:rsidR="00DE10E6">
        <w:t xml:space="preserve"> 14.2</w:t>
      </w:r>
      <w:r w:rsidR="00606C6B">
        <w:t>%</w:t>
      </w:r>
      <w:r>
        <w:t>,</w:t>
      </w:r>
      <w:r w:rsidR="00606C6B">
        <w:t xml:space="preserve"> compared to </w:t>
      </w:r>
      <w:r>
        <w:t xml:space="preserve">those intending to leave at </w:t>
      </w:r>
      <w:r w:rsidR="00606C6B">
        <w:t>12.1%</w:t>
      </w:r>
      <w:r w:rsidR="00952886">
        <w:t>.</w:t>
      </w:r>
    </w:p>
    <w:p w14:paraId="1D9DEB0C" w14:textId="41BE94AB" w:rsidR="000A7BF5" w:rsidRDefault="001B586F" w:rsidP="00E66033">
      <w:r>
        <w:t>Those employees intending to stay are m</w:t>
      </w:r>
      <w:r w:rsidR="00385029">
        <w:t>ore likely to have undertaken development activities</w:t>
      </w:r>
      <w:r w:rsidR="00D42168">
        <w:t xml:space="preserve"> in the last 12 months to assist their role</w:t>
      </w:r>
      <w:r w:rsidR="00375BBF">
        <w:t xml:space="preserve">, </w:t>
      </w:r>
      <w:r>
        <w:t xml:space="preserve">at </w:t>
      </w:r>
      <w:r w:rsidR="00D42168">
        <w:t>75.5%</w:t>
      </w:r>
      <w:r>
        <w:t xml:space="preserve">, compared to those </w:t>
      </w:r>
      <w:r w:rsidR="00A41101">
        <w:t>intending to leave at</w:t>
      </w:r>
      <w:r w:rsidR="00D42168">
        <w:t xml:space="preserve"> 66.5%</w:t>
      </w:r>
      <w:r w:rsidR="00952886">
        <w:t>.</w:t>
      </w:r>
    </w:p>
    <w:p w14:paraId="082BE2C7" w14:textId="1E504D54" w:rsidR="00D42168" w:rsidRDefault="00A41101" w:rsidP="00E66033">
      <w:r>
        <w:t xml:space="preserve">There are similar rates </w:t>
      </w:r>
      <w:r w:rsidR="00375BBF">
        <w:t xml:space="preserve">of working from home, </w:t>
      </w:r>
      <w:r>
        <w:t xml:space="preserve">with those intending to stay at </w:t>
      </w:r>
      <w:r w:rsidR="00375BBF">
        <w:t xml:space="preserve">50.7% </w:t>
      </w:r>
      <w:r w:rsidR="00E27239">
        <w:t>compared to those intending to leave</w:t>
      </w:r>
      <w:r w:rsidR="00375BBF">
        <w:t xml:space="preserve"> 50.3%</w:t>
      </w:r>
      <w:r w:rsidR="00952886">
        <w:t>.</w:t>
      </w:r>
    </w:p>
    <w:p w14:paraId="6E1679C0" w14:textId="16DC52ED" w:rsidR="00375BBF" w:rsidRDefault="00E27239" w:rsidP="00E66033">
      <w:r>
        <w:t>Those employees intending to stay are m</w:t>
      </w:r>
      <w:r w:rsidR="00351A40">
        <w:t>ore likely to be at a lower salary range</w:t>
      </w:r>
      <w:r>
        <w:t xml:space="preserve"> between</w:t>
      </w:r>
      <w:r w:rsidR="00351A40">
        <w:t xml:space="preserve"> </w:t>
      </w:r>
      <w:r>
        <w:t>$</w:t>
      </w:r>
      <w:r w:rsidR="00351A40">
        <w:t>76</w:t>
      </w:r>
      <w:r w:rsidR="00EB71E9">
        <w:t>,000</w:t>
      </w:r>
      <w:r w:rsidR="00351A40">
        <w:t xml:space="preserve"> </w:t>
      </w:r>
      <w:r>
        <w:t xml:space="preserve">and </w:t>
      </w:r>
      <w:r w:rsidR="000502DB">
        <w:t>$</w:t>
      </w:r>
      <w:r w:rsidR="00351A40">
        <w:t>124</w:t>
      </w:r>
      <w:r w:rsidR="00EB71E9">
        <w:t>,000</w:t>
      </w:r>
      <w:r w:rsidR="00351A40">
        <w:t xml:space="preserve"> </w:t>
      </w:r>
      <w:r>
        <w:t>compared to those intending to leave between</w:t>
      </w:r>
      <w:r w:rsidR="00351A40">
        <w:t xml:space="preserve"> </w:t>
      </w:r>
      <w:r>
        <w:t>$</w:t>
      </w:r>
      <w:r w:rsidR="00351A40">
        <w:t>84</w:t>
      </w:r>
      <w:r w:rsidR="00080560">
        <w:t>,000</w:t>
      </w:r>
      <w:r w:rsidR="00351A40">
        <w:t xml:space="preserve"> – </w:t>
      </w:r>
      <w:r>
        <w:t>$</w:t>
      </w:r>
      <w:r w:rsidR="00351A40">
        <w:t>140</w:t>
      </w:r>
      <w:r w:rsidR="00080560">
        <w:t>,000</w:t>
      </w:r>
      <w:r w:rsidR="00952886">
        <w:t>.</w:t>
      </w:r>
    </w:p>
    <w:p w14:paraId="0D0C9FA0" w14:textId="00DCDA9C" w:rsidR="00351A40" w:rsidRDefault="00E27239" w:rsidP="00E66033">
      <w:r>
        <w:t>Those employees intending to stay are l</w:t>
      </w:r>
      <w:r w:rsidR="00351A40">
        <w:t>ess likely to have experienced bullying and harassment</w:t>
      </w:r>
      <w:r>
        <w:t xml:space="preserve"> at </w:t>
      </w:r>
      <w:r w:rsidR="00351A40">
        <w:t xml:space="preserve">15.3% </w:t>
      </w:r>
      <w:r>
        <w:t xml:space="preserve">compared to those intending to leave at </w:t>
      </w:r>
      <w:r w:rsidR="00351A40">
        <w:t>27.9%</w:t>
      </w:r>
      <w:r w:rsidR="00952886">
        <w:t>.</w:t>
      </w:r>
    </w:p>
    <w:p w14:paraId="046ED49D" w14:textId="0A2FB8F3" w:rsidR="00B653A4" w:rsidRDefault="00B653A4" w:rsidP="00874E60">
      <w:pPr>
        <w:pStyle w:val="Heading3"/>
      </w:pPr>
      <w:r>
        <w:t>Regional Breakdown</w:t>
      </w:r>
    </w:p>
    <w:p w14:paraId="50AE1599" w14:textId="4D16D15E" w:rsidR="00B653A4" w:rsidRDefault="00367370" w:rsidP="00B653A4">
      <w:r>
        <w:t>1</w:t>
      </w:r>
      <w:r w:rsidR="002F4000">
        <w:t>7,677 employees</w:t>
      </w:r>
      <w:r w:rsidR="00517E9C">
        <w:t xml:space="preserve">, which is 56.2% </w:t>
      </w:r>
      <w:r w:rsidR="00517E9C" w:rsidRPr="00C27AEC">
        <w:t xml:space="preserve">of </w:t>
      </w:r>
      <w:r w:rsidR="0088286E">
        <w:t>metropolitan</w:t>
      </w:r>
      <w:r w:rsidR="00517E9C">
        <w:t xml:space="preserve"> </w:t>
      </w:r>
      <w:r w:rsidR="00E27239">
        <w:t>employees</w:t>
      </w:r>
      <w:r w:rsidR="00517E9C">
        <w:t xml:space="preserve">, </w:t>
      </w:r>
      <w:r w:rsidR="0042687C">
        <w:t>intend to stay with their agency.</w:t>
      </w:r>
    </w:p>
    <w:p w14:paraId="09DAB05D" w14:textId="275D61CE" w:rsidR="0042687C" w:rsidRDefault="0042687C">
      <w:r>
        <w:t xml:space="preserve">4,645 employees, which is 57.3% </w:t>
      </w:r>
      <w:r w:rsidRPr="00C27AEC">
        <w:t xml:space="preserve">of </w:t>
      </w:r>
      <w:r>
        <w:t xml:space="preserve">regional </w:t>
      </w:r>
      <w:r w:rsidR="00E27239">
        <w:t>employees</w:t>
      </w:r>
      <w:r>
        <w:t>, intend to stay with their agency.</w:t>
      </w:r>
    </w:p>
    <w:p w14:paraId="31A15B01" w14:textId="77777777" w:rsidR="008C7B74" w:rsidRDefault="008C7B74">
      <w:pPr>
        <w:spacing w:after="160"/>
        <w:rPr>
          <w:rFonts w:ascii="Century Gothic" w:eastAsiaTheme="majorEastAsia" w:hAnsi="Century Gothic" w:cstheme="majorBidi"/>
          <w:b/>
          <w:sz w:val="44"/>
          <w:szCs w:val="32"/>
          <w:lang w:val="en-AU"/>
        </w:rPr>
      </w:pPr>
      <w:r>
        <w:br w:type="page"/>
      </w:r>
    </w:p>
    <w:p w14:paraId="6BD61C17" w14:textId="5CF156F2" w:rsidR="00DA0103" w:rsidRDefault="00DA0103" w:rsidP="00DA0103">
      <w:pPr>
        <w:pStyle w:val="Heading1"/>
      </w:pPr>
      <w:r>
        <w:lastRenderedPageBreak/>
        <w:t>Leadership, development and performance</w:t>
      </w:r>
    </w:p>
    <w:p w14:paraId="735D245E" w14:textId="200F1713" w:rsidR="00DA0103" w:rsidRDefault="004261A0" w:rsidP="004261A0">
      <w:r w:rsidRPr="00E67942">
        <w:t xml:space="preserve">Employees </w:t>
      </w:r>
      <w:proofErr w:type="spellStart"/>
      <w:r w:rsidRPr="00E67942">
        <w:t>self identification</w:t>
      </w:r>
      <w:proofErr w:type="spellEnd"/>
      <w:r w:rsidRPr="00E67942">
        <w:t xml:space="preserve"> as a leader, details about their performance and development agreements, and studying activities.</w:t>
      </w:r>
    </w:p>
    <w:p w14:paraId="5A16A395" w14:textId="5C96D539" w:rsidR="004261A0" w:rsidRDefault="004261A0" w:rsidP="004261A0">
      <w:pPr>
        <w:pStyle w:val="Heading2"/>
      </w:pPr>
      <w:r>
        <w:t>Female</w:t>
      </w:r>
      <w:r w:rsidR="00E27239">
        <w:t xml:space="preserve"> employees</w:t>
      </w:r>
      <w:r w:rsidR="00347E77">
        <w:t xml:space="preserve"> identifying as </w:t>
      </w:r>
      <w:proofErr w:type="gramStart"/>
      <w:r w:rsidR="00347E77">
        <w:t>leaders</w:t>
      </w:r>
      <w:proofErr w:type="gramEnd"/>
    </w:p>
    <w:p w14:paraId="51BB57F3" w14:textId="040A4A66" w:rsidR="004261A0" w:rsidRDefault="00034266" w:rsidP="004261A0">
      <w:r>
        <w:t>14,242 employees,</w:t>
      </w:r>
      <w:r w:rsidR="00177E3C">
        <w:t xml:space="preserve"> which is 46.5% of female</w:t>
      </w:r>
      <w:r w:rsidR="00AC3786">
        <w:t xml:space="preserve"> employee</w:t>
      </w:r>
      <w:r w:rsidR="00177E3C">
        <w:t>s, identify</w:t>
      </w:r>
      <w:r w:rsidR="002D035A">
        <w:t xml:space="preserve"> themselves as leaders.</w:t>
      </w:r>
    </w:p>
    <w:p w14:paraId="6C9790D6" w14:textId="4A64315D" w:rsidR="00C7534D" w:rsidRDefault="00BD54D3" w:rsidP="004261A0">
      <w:r>
        <w:t xml:space="preserve">About half, or </w:t>
      </w:r>
      <w:r w:rsidR="00C7534D">
        <w:t>53.3% of female</w:t>
      </w:r>
      <w:r w:rsidR="00E27239">
        <w:t xml:space="preserve"> employee</w:t>
      </w:r>
      <w:r w:rsidR="00C7534D">
        <w:t>s who identify as leaders also manage employees.</w:t>
      </w:r>
    </w:p>
    <w:p w14:paraId="03407C00" w14:textId="1CA1A47A" w:rsidR="00C7534D" w:rsidRDefault="00C7534D" w:rsidP="004261A0">
      <w:r>
        <w:t>The most common age group for female</w:t>
      </w:r>
      <w:r w:rsidR="00E27239">
        <w:t xml:space="preserve"> employee</w:t>
      </w:r>
      <w:r>
        <w:t>s identifying as leaders is 50 to 54 years.</w:t>
      </w:r>
    </w:p>
    <w:p w14:paraId="12BC9A63" w14:textId="1EE55CF4" w:rsidR="00C7534D" w:rsidRDefault="00081AD6" w:rsidP="00081AD6">
      <w:pPr>
        <w:pStyle w:val="Heading3"/>
      </w:pPr>
      <w:r>
        <w:t>Tenure of female</w:t>
      </w:r>
      <w:r w:rsidR="00E27239">
        <w:t xml:space="preserve"> employee</w:t>
      </w:r>
      <w:r>
        <w:t xml:space="preserve">s who identify as </w:t>
      </w:r>
      <w:proofErr w:type="gramStart"/>
      <w:r>
        <w:t>leaders</w:t>
      </w:r>
      <w:proofErr w:type="gramEnd"/>
    </w:p>
    <w:p w14:paraId="01364CE7" w14:textId="602BB044" w:rsidR="00081AD6" w:rsidRPr="00C27AEC" w:rsidRDefault="00983615" w:rsidP="00081AD6">
      <w:r>
        <w:t>383</w:t>
      </w:r>
      <w:r w:rsidR="00081AD6" w:rsidRPr="00C27AEC">
        <w:t xml:space="preserve"> </w:t>
      </w:r>
      <w:r>
        <w:t>female</w:t>
      </w:r>
      <w:r w:rsidR="00E27239">
        <w:t xml:space="preserve"> employee</w:t>
      </w:r>
      <w:r>
        <w:t xml:space="preserve">s </w:t>
      </w:r>
      <w:r w:rsidR="00081AD6">
        <w:t>have a tenure of less than 1 year</w:t>
      </w:r>
      <w:r w:rsidR="00081AD6" w:rsidRPr="00C27AEC">
        <w:t xml:space="preserve">, which is </w:t>
      </w:r>
      <w:r>
        <w:t>2</w:t>
      </w:r>
      <w:r w:rsidR="00081AD6">
        <w:t>.</w:t>
      </w:r>
      <w:r>
        <w:t>7</w:t>
      </w:r>
      <w:r w:rsidR="00081AD6" w:rsidRPr="00C27AEC">
        <w:t xml:space="preserve">% of </w:t>
      </w:r>
      <w:r w:rsidR="00081AD6">
        <w:t xml:space="preserve">those </w:t>
      </w:r>
      <w:r>
        <w:t>who identify as leaders</w:t>
      </w:r>
      <w:r w:rsidR="00081AD6" w:rsidRPr="00C27AEC">
        <w:t>.</w:t>
      </w:r>
    </w:p>
    <w:p w14:paraId="1B30DD70" w14:textId="20DD4603" w:rsidR="00081AD6" w:rsidRPr="00C27AEC" w:rsidRDefault="00983615" w:rsidP="00081AD6">
      <w:r>
        <w:t>914</w:t>
      </w:r>
      <w:r w:rsidR="00081AD6" w:rsidRPr="00C27AEC">
        <w:t xml:space="preserve"> </w:t>
      </w:r>
      <w:r>
        <w:t>female</w:t>
      </w:r>
      <w:r w:rsidR="00E27239" w:rsidRPr="00E27239">
        <w:t xml:space="preserve"> </w:t>
      </w:r>
      <w:r w:rsidR="00E27239">
        <w:t>employees</w:t>
      </w:r>
      <w:r>
        <w:t xml:space="preserve"> </w:t>
      </w:r>
      <w:r w:rsidR="00081AD6">
        <w:t>have a tenure of between 1 and 3 years</w:t>
      </w:r>
      <w:r w:rsidR="00081AD6" w:rsidRPr="00C27AEC">
        <w:t xml:space="preserve">, which is </w:t>
      </w:r>
      <w:r>
        <w:t>6.4</w:t>
      </w:r>
      <w:r w:rsidR="00081AD6" w:rsidRPr="00C27AEC">
        <w:t xml:space="preserve">% of </w:t>
      </w:r>
      <w:r w:rsidR="00081AD6">
        <w:t xml:space="preserve">those </w:t>
      </w:r>
      <w:r>
        <w:t>identify as leaders.</w:t>
      </w:r>
    </w:p>
    <w:p w14:paraId="3CABC8E9" w14:textId="3B30EF90" w:rsidR="00081AD6" w:rsidRPr="00C27AEC" w:rsidRDefault="00983615" w:rsidP="00081AD6">
      <w:r>
        <w:t>1,048</w:t>
      </w:r>
      <w:r w:rsidR="00081AD6" w:rsidRPr="00C27AEC">
        <w:t xml:space="preserve"> </w:t>
      </w:r>
      <w:r w:rsidR="00E27239">
        <w:t>female employees</w:t>
      </w:r>
      <w:r w:rsidR="00081AD6" w:rsidRPr="00C27AEC">
        <w:t xml:space="preserve"> </w:t>
      </w:r>
      <w:r w:rsidR="00081AD6">
        <w:t>have a tenure of between 3 and 5 years</w:t>
      </w:r>
      <w:r w:rsidR="00081AD6" w:rsidRPr="00C27AEC">
        <w:t xml:space="preserve">, which is </w:t>
      </w:r>
      <w:r>
        <w:t>7.4</w:t>
      </w:r>
      <w:r w:rsidR="00081AD6" w:rsidRPr="00C27AEC">
        <w:t xml:space="preserve">% of </w:t>
      </w:r>
      <w:r w:rsidR="00081AD6">
        <w:t xml:space="preserve">those </w:t>
      </w:r>
      <w:r>
        <w:t>identify as leaders.</w:t>
      </w:r>
    </w:p>
    <w:p w14:paraId="254772F8" w14:textId="25CDED3E" w:rsidR="00081AD6" w:rsidRPr="00C27AEC" w:rsidRDefault="004914B2" w:rsidP="00081AD6">
      <w:r>
        <w:t>2,953</w:t>
      </w:r>
      <w:r w:rsidR="00081AD6" w:rsidRPr="00C27AEC">
        <w:t xml:space="preserve"> </w:t>
      </w:r>
      <w:r w:rsidR="00E27239">
        <w:t xml:space="preserve">female </w:t>
      </w:r>
      <w:r w:rsidR="00081AD6" w:rsidRPr="00C27AEC">
        <w:t xml:space="preserve">employees </w:t>
      </w:r>
      <w:r w:rsidR="00081AD6">
        <w:t>have a tenure of between 5 and 11 years</w:t>
      </w:r>
      <w:r w:rsidR="00081AD6" w:rsidRPr="00C27AEC">
        <w:t xml:space="preserve">, which is </w:t>
      </w:r>
      <w:r w:rsidR="00081AD6">
        <w:t>20.7</w:t>
      </w:r>
      <w:r w:rsidR="00081AD6" w:rsidRPr="00C27AEC">
        <w:t xml:space="preserve">% of </w:t>
      </w:r>
      <w:r w:rsidR="00081AD6">
        <w:t xml:space="preserve">those </w:t>
      </w:r>
      <w:r w:rsidR="00983615">
        <w:t>identify as leaders.</w:t>
      </w:r>
    </w:p>
    <w:p w14:paraId="7F72AC2B" w14:textId="116C7143" w:rsidR="00081AD6" w:rsidRDefault="004914B2" w:rsidP="00081AD6">
      <w:r>
        <w:t>8,944</w:t>
      </w:r>
      <w:r w:rsidR="00081AD6">
        <w:t xml:space="preserve"> </w:t>
      </w:r>
      <w:r w:rsidR="00E27239">
        <w:t xml:space="preserve">female </w:t>
      </w:r>
      <w:r w:rsidR="00081AD6" w:rsidRPr="00C27AEC">
        <w:t xml:space="preserve">employees </w:t>
      </w:r>
      <w:r w:rsidR="00081AD6">
        <w:t>have a tenure of more than 11 years</w:t>
      </w:r>
      <w:r w:rsidR="00081AD6" w:rsidRPr="00C27AEC">
        <w:t xml:space="preserve">, which is </w:t>
      </w:r>
      <w:r>
        <w:t>62.8</w:t>
      </w:r>
      <w:r w:rsidR="00081AD6" w:rsidRPr="00C27AEC">
        <w:t xml:space="preserve">% of </w:t>
      </w:r>
      <w:r w:rsidR="00081AD6">
        <w:t xml:space="preserve">those </w:t>
      </w:r>
      <w:r w:rsidR="00983615">
        <w:t>identify as leaders.</w:t>
      </w:r>
    </w:p>
    <w:p w14:paraId="706F4A0A" w14:textId="59B4B072" w:rsidR="00B86CAC" w:rsidRDefault="00B86CAC" w:rsidP="00B86CAC">
      <w:pPr>
        <w:pStyle w:val="Heading3"/>
      </w:pPr>
      <w:r>
        <w:t>Salary range of female</w:t>
      </w:r>
      <w:r w:rsidR="000D1742">
        <w:t xml:space="preserve"> employee</w:t>
      </w:r>
      <w:r>
        <w:t xml:space="preserve">s who identify as </w:t>
      </w:r>
      <w:proofErr w:type="gramStart"/>
      <w:r>
        <w:t>leaders</w:t>
      </w:r>
      <w:proofErr w:type="gramEnd"/>
    </w:p>
    <w:p w14:paraId="54DB1B66" w14:textId="7B1CAEAE" w:rsidR="00143758" w:rsidRPr="00C27AEC" w:rsidRDefault="006D6936" w:rsidP="00143758">
      <w:r>
        <w:t>1,612</w:t>
      </w:r>
      <w:r w:rsidR="00143758" w:rsidRPr="00C27AEC">
        <w:t xml:space="preserve"> </w:t>
      </w:r>
      <w:r w:rsidR="002812DA">
        <w:t xml:space="preserve">female </w:t>
      </w:r>
      <w:r w:rsidR="00143758" w:rsidRPr="00C27AEC">
        <w:t xml:space="preserve">employees </w:t>
      </w:r>
      <w:r w:rsidR="00143758">
        <w:t>have a salary of less than $76,026</w:t>
      </w:r>
      <w:r w:rsidR="00143758" w:rsidRPr="00C27AEC">
        <w:t xml:space="preserve">, which is </w:t>
      </w:r>
      <w:r>
        <w:t>11</w:t>
      </w:r>
      <w:r w:rsidR="00143758">
        <w:t>.</w:t>
      </w:r>
      <w:r>
        <w:t>9</w:t>
      </w:r>
      <w:r w:rsidR="00143758" w:rsidRPr="00C27AEC">
        <w:t xml:space="preserve">% of </w:t>
      </w:r>
      <w:r w:rsidR="00A45C34">
        <w:t>females who identify as leaders</w:t>
      </w:r>
      <w:r w:rsidR="00143758" w:rsidRPr="00C27AEC">
        <w:t>.</w:t>
      </w:r>
    </w:p>
    <w:p w14:paraId="74B6EE12" w14:textId="07DD1822" w:rsidR="00143758" w:rsidRPr="00C27AEC" w:rsidRDefault="006D6936" w:rsidP="00143758">
      <w:r>
        <w:t>5,092</w:t>
      </w:r>
      <w:r w:rsidR="00143758">
        <w:t xml:space="preserve"> </w:t>
      </w:r>
      <w:r w:rsidR="002812DA">
        <w:t xml:space="preserve">female </w:t>
      </w:r>
      <w:r w:rsidR="00143758" w:rsidRPr="00C27AEC">
        <w:t xml:space="preserve">employees </w:t>
      </w:r>
      <w:r w:rsidR="00143758">
        <w:t>have a salary of between $76,026 and $107,095</w:t>
      </w:r>
      <w:r w:rsidR="00143758" w:rsidRPr="00C27AEC">
        <w:t xml:space="preserve">, which is </w:t>
      </w:r>
      <w:r>
        <w:t>37</w:t>
      </w:r>
      <w:r w:rsidR="00143758">
        <w:t>.</w:t>
      </w:r>
      <w:r>
        <w:t>6</w:t>
      </w:r>
      <w:r w:rsidR="00143758" w:rsidRPr="00C27AEC">
        <w:t xml:space="preserve">% of </w:t>
      </w:r>
      <w:r w:rsidR="00A45C34">
        <w:t>females who identify as leaders</w:t>
      </w:r>
      <w:r w:rsidR="00143758" w:rsidRPr="00C27AEC">
        <w:t>.</w:t>
      </w:r>
    </w:p>
    <w:p w14:paraId="28D81676" w14:textId="47F39343" w:rsidR="00143758" w:rsidRPr="00C27AEC" w:rsidRDefault="006D6936" w:rsidP="00143758">
      <w:r>
        <w:t>6,192</w:t>
      </w:r>
      <w:r w:rsidR="00143758" w:rsidRPr="00C27AEC">
        <w:t xml:space="preserve"> </w:t>
      </w:r>
      <w:r w:rsidR="002812DA">
        <w:t xml:space="preserve">female </w:t>
      </w:r>
      <w:r w:rsidR="00143758" w:rsidRPr="00C27AEC">
        <w:t xml:space="preserve">employees </w:t>
      </w:r>
      <w:r w:rsidR="00143758">
        <w:t>have a salary of between $107,096 and $160,359</w:t>
      </w:r>
      <w:r w:rsidR="00143758" w:rsidRPr="00C27AEC">
        <w:t xml:space="preserve">, which is </w:t>
      </w:r>
      <w:r>
        <w:t>45.7</w:t>
      </w:r>
      <w:r w:rsidR="00143758" w:rsidRPr="00C27AEC">
        <w:t xml:space="preserve">% of </w:t>
      </w:r>
      <w:r w:rsidR="00A45C34">
        <w:t>females who identify as leaders</w:t>
      </w:r>
      <w:r w:rsidR="00143758" w:rsidRPr="00C27AEC">
        <w:t>.</w:t>
      </w:r>
    </w:p>
    <w:p w14:paraId="04E27254" w14:textId="40E356FA" w:rsidR="00143758" w:rsidRPr="00C27AEC" w:rsidRDefault="00B303D7" w:rsidP="00143758">
      <w:r>
        <w:t>461</w:t>
      </w:r>
      <w:r w:rsidR="00143758">
        <w:t xml:space="preserve"> </w:t>
      </w:r>
      <w:r w:rsidR="002812DA">
        <w:t xml:space="preserve">female </w:t>
      </w:r>
      <w:r w:rsidR="00143758" w:rsidRPr="00C27AEC">
        <w:t xml:space="preserve">employees </w:t>
      </w:r>
      <w:r w:rsidR="00143758">
        <w:t>have a salary of between $160,360 and $200,566</w:t>
      </w:r>
      <w:r w:rsidR="00143758" w:rsidRPr="00C27AEC">
        <w:t xml:space="preserve">, which is </w:t>
      </w:r>
      <w:r>
        <w:t>3.4</w:t>
      </w:r>
      <w:r w:rsidR="00143758" w:rsidRPr="00C27AEC">
        <w:t xml:space="preserve">% of </w:t>
      </w:r>
      <w:r w:rsidR="00A45C34">
        <w:t>females who identify as leaders</w:t>
      </w:r>
      <w:r w:rsidR="00143758" w:rsidRPr="00C27AEC">
        <w:t>.</w:t>
      </w:r>
    </w:p>
    <w:p w14:paraId="7E48C299" w14:textId="6C8C8704" w:rsidR="00143758" w:rsidRDefault="00B303D7" w:rsidP="008C7B74">
      <w:r>
        <w:t>197</w:t>
      </w:r>
      <w:r w:rsidR="00143758">
        <w:t xml:space="preserve"> </w:t>
      </w:r>
      <w:r w:rsidR="002812DA">
        <w:t xml:space="preserve">female </w:t>
      </w:r>
      <w:r w:rsidR="00143758" w:rsidRPr="00C27AEC">
        <w:t xml:space="preserve">employees </w:t>
      </w:r>
      <w:r w:rsidR="00143758">
        <w:t>have a salary of more than $200,566</w:t>
      </w:r>
      <w:r w:rsidR="00143758" w:rsidRPr="00C27AEC">
        <w:t xml:space="preserve">, which is </w:t>
      </w:r>
      <w:r w:rsidR="00143758">
        <w:t>1.</w:t>
      </w:r>
      <w:r>
        <w:t>5</w:t>
      </w:r>
      <w:r w:rsidR="00143758" w:rsidRPr="00C27AEC">
        <w:t xml:space="preserve">% of </w:t>
      </w:r>
      <w:r w:rsidR="00A45C34">
        <w:t>females who identify as leaders</w:t>
      </w:r>
      <w:r w:rsidR="00143758" w:rsidRPr="00C27AEC">
        <w:t>.</w:t>
      </w:r>
    </w:p>
    <w:p w14:paraId="777C2328" w14:textId="053D86DB" w:rsidR="00DF329D" w:rsidRDefault="00DF329D" w:rsidP="00DF329D">
      <w:pPr>
        <w:pStyle w:val="Heading3"/>
      </w:pPr>
      <w:r>
        <w:t>Top 3 types of work of female</w:t>
      </w:r>
      <w:r w:rsidR="000D1742">
        <w:t xml:space="preserve"> employee</w:t>
      </w:r>
      <w:r>
        <w:t xml:space="preserve">s who identify as </w:t>
      </w:r>
      <w:proofErr w:type="gramStart"/>
      <w:r>
        <w:t>leaders</w:t>
      </w:r>
      <w:proofErr w:type="gramEnd"/>
    </w:p>
    <w:p w14:paraId="705DB249" w14:textId="77777777" w:rsidR="00DF329D" w:rsidRDefault="00DF329D" w:rsidP="002812DA">
      <w:pPr>
        <w:pStyle w:val="ListParagraph"/>
        <w:numPr>
          <w:ilvl w:val="0"/>
          <w:numId w:val="28"/>
        </w:numPr>
      </w:pPr>
      <w:r>
        <w:t>Teaching, lecturing, training, vocational support</w:t>
      </w:r>
    </w:p>
    <w:p w14:paraId="330192D4" w14:textId="042B2D47" w:rsidR="00DF329D" w:rsidRDefault="00DF329D" w:rsidP="002812DA">
      <w:pPr>
        <w:pStyle w:val="ListParagraph"/>
        <w:numPr>
          <w:ilvl w:val="0"/>
          <w:numId w:val="28"/>
        </w:numPr>
      </w:pPr>
      <w:r>
        <w:t>Management</w:t>
      </w:r>
    </w:p>
    <w:p w14:paraId="558D84FE" w14:textId="5819267C" w:rsidR="00DF329D" w:rsidRDefault="00DF329D" w:rsidP="002812DA">
      <w:pPr>
        <w:pStyle w:val="ListParagraph"/>
        <w:numPr>
          <w:ilvl w:val="0"/>
          <w:numId w:val="28"/>
        </w:numPr>
      </w:pPr>
      <w:r>
        <w:t>Administrative support</w:t>
      </w:r>
      <w:r w:rsidR="002812DA">
        <w:t>.</w:t>
      </w:r>
    </w:p>
    <w:p w14:paraId="5615C3C1" w14:textId="3241708C" w:rsidR="00B303D7" w:rsidRDefault="00DF329D" w:rsidP="00E67942">
      <w:pPr>
        <w:pStyle w:val="Heading2"/>
      </w:pPr>
      <w:r>
        <w:t>Male</w:t>
      </w:r>
      <w:r w:rsidR="00347E77">
        <w:t xml:space="preserve"> employees identifying as </w:t>
      </w:r>
      <w:proofErr w:type="gramStart"/>
      <w:r w:rsidR="00347E77">
        <w:t>leaders</w:t>
      </w:r>
      <w:proofErr w:type="gramEnd"/>
    </w:p>
    <w:p w14:paraId="61D8D2F4" w14:textId="19D4CCDA" w:rsidR="00DF329D" w:rsidRDefault="00BD54D3" w:rsidP="00DF329D">
      <w:r>
        <w:t>8,998</w:t>
      </w:r>
      <w:r w:rsidR="00DF329D">
        <w:t xml:space="preserve"> employees, which is </w:t>
      </w:r>
      <w:r>
        <w:t>58.3</w:t>
      </w:r>
      <w:r w:rsidR="00DF329D">
        <w:t xml:space="preserve">% of </w:t>
      </w:r>
      <w:r w:rsidR="00AC3786">
        <w:t xml:space="preserve">all </w:t>
      </w:r>
      <w:r>
        <w:t>male</w:t>
      </w:r>
      <w:r w:rsidR="00AC3786">
        <w:t xml:space="preserve"> employee</w:t>
      </w:r>
      <w:r>
        <w:t>s</w:t>
      </w:r>
      <w:r w:rsidR="00DF329D">
        <w:t>, identify themselves as leaders.</w:t>
      </w:r>
    </w:p>
    <w:p w14:paraId="5621B9E0" w14:textId="6FBA573F" w:rsidR="00DF329D" w:rsidRDefault="00BD54D3" w:rsidP="00DF329D">
      <w:r>
        <w:t>A majority, or 61.0</w:t>
      </w:r>
      <w:r w:rsidR="00DF329D">
        <w:t>%</w:t>
      </w:r>
      <w:r>
        <w:t>,</w:t>
      </w:r>
      <w:r w:rsidR="00DF329D">
        <w:t xml:space="preserve"> of </w:t>
      </w:r>
      <w:r>
        <w:t>males</w:t>
      </w:r>
      <w:r w:rsidR="00DF329D">
        <w:t xml:space="preserve"> who identify as leaders also manage employees.</w:t>
      </w:r>
    </w:p>
    <w:p w14:paraId="66E49B0B" w14:textId="0DC24E47" w:rsidR="00DF329D" w:rsidRDefault="00DF329D" w:rsidP="00DF329D">
      <w:r>
        <w:lastRenderedPageBreak/>
        <w:t xml:space="preserve">The most common age group for </w:t>
      </w:r>
      <w:r w:rsidR="00BD54D3">
        <w:t>males</w:t>
      </w:r>
      <w:r>
        <w:t xml:space="preserve"> identifying as leaders is 50 to 54 years.</w:t>
      </w:r>
    </w:p>
    <w:p w14:paraId="6B1CD893" w14:textId="38F0D786" w:rsidR="00DF329D" w:rsidRDefault="00DF329D" w:rsidP="00DF329D">
      <w:pPr>
        <w:pStyle w:val="Heading3"/>
      </w:pPr>
      <w:r>
        <w:t xml:space="preserve">Tenure of </w:t>
      </w:r>
      <w:r w:rsidR="00BD54D3">
        <w:t>males</w:t>
      </w:r>
      <w:r>
        <w:t xml:space="preserve"> who identify as </w:t>
      </w:r>
      <w:proofErr w:type="gramStart"/>
      <w:r>
        <w:t>leaders</w:t>
      </w:r>
      <w:proofErr w:type="gramEnd"/>
    </w:p>
    <w:p w14:paraId="3392B6AF" w14:textId="1470C4C3" w:rsidR="00DF329D" w:rsidRPr="00C27AEC" w:rsidRDefault="00BD54D3" w:rsidP="00DF329D">
      <w:r>
        <w:t>307</w:t>
      </w:r>
      <w:r w:rsidR="00DF329D" w:rsidRPr="00C27AEC">
        <w:t xml:space="preserve"> </w:t>
      </w:r>
      <w:r>
        <w:t>male</w:t>
      </w:r>
      <w:r w:rsidR="000D1742">
        <w:t xml:space="preserve"> employee</w:t>
      </w:r>
      <w:r>
        <w:t>s</w:t>
      </w:r>
      <w:r w:rsidR="00DF329D">
        <w:t xml:space="preserve"> have a tenure of less than 1 year</w:t>
      </w:r>
      <w:r w:rsidR="00DF329D" w:rsidRPr="00C27AEC">
        <w:t xml:space="preserve">, which is </w:t>
      </w:r>
      <w:r>
        <w:t>3.4</w:t>
      </w:r>
      <w:r w:rsidR="00DF329D" w:rsidRPr="00C27AEC">
        <w:t xml:space="preserve">% of </w:t>
      </w:r>
      <w:r w:rsidR="003E6800">
        <w:t>males</w:t>
      </w:r>
      <w:r w:rsidR="00DF329D">
        <w:t xml:space="preserve"> who identify as leaders</w:t>
      </w:r>
      <w:r w:rsidR="00DF329D" w:rsidRPr="00C27AEC">
        <w:t>.</w:t>
      </w:r>
    </w:p>
    <w:p w14:paraId="1E773024" w14:textId="042C7585" w:rsidR="00DF329D" w:rsidRPr="00C27AEC" w:rsidRDefault="00BD54D3" w:rsidP="00DF329D">
      <w:r>
        <w:t>656</w:t>
      </w:r>
      <w:r w:rsidR="00DF329D" w:rsidRPr="00C27AEC">
        <w:t xml:space="preserve"> </w:t>
      </w:r>
      <w:r>
        <w:t>male</w:t>
      </w:r>
      <w:r w:rsidR="000D1742">
        <w:t xml:space="preserve"> employee</w:t>
      </w:r>
      <w:r>
        <w:t>s</w:t>
      </w:r>
      <w:r w:rsidR="00DF329D">
        <w:t xml:space="preserve"> have a tenure of between 1 and 3 years</w:t>
      </w:r>
      <w:r w:rsidR="00DF329D" w:rsidRPr="00C27AEC">
        <w:t xml:space="preserve">, which is </w:t>
      </w:r>
      <w:r>
        <w:t>7.3</w:t>
      </w:r>
      <w:r w:rsidR="00DF329D" w:rsidRPr="00C27AEC">
        <w:t xml:space="preserve">% of </w:t>
      </w:r>
      <w:r w:rsidR="003E6800">
        <w:t xml:space="preserve">males </w:t>
      </w:r>
      <w:r w:rsidR="00DF329D">
        <w:t>identify as leaders.</w:t>
      </w:r>
    </w:p>
    <w:p w14:paraId="5D7EA360" w14:textId="696FF68D" w:rsidR="00DF329D" w:rsidRPr="00C27AEC" w:rsidRDefault="00433D50" w:rsidP="00DF329D">
      <w:r>
        <w:t>701</w:t>
      </w:r>
      <w:r w:rsidR="00DF329D" w:rsidRPr="00C27AEC">
        <w:t xml:space="preserve"> </w:t>
      </w:r>
      <w:r w:rsidR="000D1742">
        <w:t xml:space="preserve">male </w:t>
      </w:r>
      <w:r w:rsidR="00DF329D" w:rsidRPr="00C27AEC">
        <w:t xml:space="preserve">employees </w:t>
      </w:r>
      <w:r w:rsidR="00DF329D">
        <w:t>have a tenure of between 3 and 5 years</w:t>
      </w:r>
      <w:r w:rsidR="00DF329D" w:rsidRPr="00C27AEC">
        <w:t xml:space="preserve">, which is </w:t>
      </w:r>
      <w:r w:rsidR="00DF329D">
        <w:t>7.</w:t>
      </w:r>
      <w:r>
        <w:t>8</w:t>
      </w:r>
      <w:r w:rsidR="00DF329D" w:rsidRPr="00C27AEC">
        <w:t xml:space="preserve">% of </w:t>
      </w:r>
      <w:r w:rsidR="003E6800">
        <w:t xml:space="preserve">males </w:t>
      </w:r>
      <w:r w:rsidR="00DF329D">
        <w:t>identify as leaders.</w:t>
      </w:r>
    </w:p>
    <w:p w14:paraId="5E4E92F5" w14:textId="31F285B2" w:rsidR="00DF329D" w:rsidRPr="00C27AEC" w:rsidRDefault="00433D50" w:rsidP="00DF329D">
      <w:r>
        <w:t>1,629</w:t>
      </w:r>
      <w:r w:rsidR="000D1742">
        <w:t xml:space="preserve"> male</w:t>
      </w:r>
      <w:r w:rsidR="00DF329D" w:rsidRPr="00C27AEC">
        <w:t xml:space="preserve"> employees </w:t>
      </w:r>
      <w:r w:rsidR="00DF329D">
        <w:t>have a tenure of between 5 and 11 years</w:t>
      </w:r>
      <w:r w:rsidR="00DF329D" w:rsidRPr="00C27AEC">
        <w:t xml:space="preserve">, which is </w:t>
      </w:r>
      <w:r>
        <w:t>18</w:t>
      </w:r>
      <w:r w:rsidR="00DF329D">
        <w:t>.</w:t>
      </w:r>
      <w:r>
        <w:t>1</w:t>
      </w:r>
      <w:r w:rsidR="00DF329D" w:rsidRPr="00C27AEC">
        <w:t xml:space="preserve">% of </w:t>
      </w:r>
      <w:r w:rsidR="003E6800">
        <w:t xml:space="preserve">males </w:t>
      </w:r>
      <w:r w:rsidR="00DF329D">
        <w:t>identify as leaders.</w:t>
      </w:r>
    </w:p>
    <w:p w14:paraId="0768AF3A" w14:textId="643F0CD8" w:rsidR="00DF329D" w:rsidRDefault="00433D50" w:rsidP="00DF329D">
      <w:r>
        <w:t>5,705</w:t>
      </w:r>
      <w:r w:rsidR="00DF329D">
        <w:t xml:space="preserve"> </w:t>
      </w:r>
      <w:r w:rsidR="000D1742">
        <w:t xml:space="preserve">male </w:t>
      </w:r>
      <w:r w:rsidR="00DF329D" w:rsidRPr="00C27AEC">
        <w:t xml:space="preserve">employees </w:t>
      </w:r>
      <w:r w:rsidR="00DF329D">
        <w:t>have a tenure of more than 11 years</w:t>
      </w:r>
      <w:r w:rsidR="00DF329D" w:rsidRPr="00C27AEC">
        <w:t xml:space="preserve">, which is </w:t>
      </w:r>
      <w:r w:rsidR="00DF329D">
        <w:t>6</w:t>
      </w:r>
      <w:r>
        <w:t>3</w:t>
      </w:r>
      <w:r w:rsidR="00DF329D">
        <w:t>.</w:t>
      </w:r>
      <w:r>
        <w:t>4</w:t>
      </w:r>
      <w:r w:rsidR="00DF329D" w:rsidRPr="00C27AEC">
        <w:t xml:space="preserve">% of </w:t>
      </w:r>
      <w:r w:rsidR="003E6800">
        <w:t xml:space="preserve">males </w:t>
      </w:r>
      <w:r w:rsidR="00DF329D">
        <w:t>identify as leaders.</w:t>
      </w:r>
    </w:p>
    <w:p w14:paraId="5616FEF7" w14:textId="2E2E40A7" w:rsidR="00DF329D" w:rsidRDefault="00DF329D" w:rsidP="00DF329D">
      <w:pPr>
        <w:pStyle w:val="Heading3"/>
      </w:pPr>
      <w:r>
        <w:t xml:space="preserve">Salary range of </w:t>
      </w:r>
      <w:r w:rsidR="00BD54D3">
        <w:t>male</w:t>
      </w:r>
      <w:r w:rsidR="000D1742">
        <w:t xml:space="preserve"> employee</w:t>
      </w:r>
      <w:r w:rsidR="00BD54D3">
        <w:t>s</w:t>
      </w:r>
      <w:r>
        <w:t xml:space="preserve"> who identify as </w:t>
      </w:r>
      <w:proofErr w:type="gramStart"/>
      <w:r>
        <w:t>leaders</w:t>
      </w:r>
      <w:proofErr w:type="gramEnd"/>
    </w:p>
    <w:p w14:paraId="754E38F8" w14:textId="512A9087" w:rsidR="00DF329D" w:rsidRPr="00C27AEC" w:rsidRDefault="00F9134B" w:rsidP="00DF329D">
      <w:r>
        <w:t>539</w:t>
      </w:r>
      <w:r w:rsidR="00DF329D" w:rsidRPr="00C27AEC">
        <w:t xml:space="preserve"> employees </w:t>
      </w:r>
      <w:r w:rsidR="00DF329D">
        <w:t>have a salary of less than $76,026</w:t>
      </w:r>
      <w:r w:rsidR="00DF329D" w:rsidRPr="00C27AEC">
        <w:t xml:space="preserve">, which is </w:t>
      </w:r>
      <w:r>
        <w:t>6.3</w:t>
      </w:r>
      <w:r w:rsidR="00DF329D" w:rsidRPr="00C27AEC">
        <w:t xml:space="preserve">% of </w:t>
      </w:r>
      <w:r w:rsidR="00DF329D">
        <w:t>those intending to stay</w:t>
      </w:r>
      <w:r w:rsidR="00DF329D" w:rsidRPr="00C27AEC">
        <w:t>.</w:t>
      </w:r>
    </w:p>
    <w:p w14:paraId="54EC7568" w14:textId="17701CB9" w:rsidR="00DF329D" w:rsidRPr="00C27AEC" w:rsidRDefault="00F9134B" w:rsidP="00DF329D">
      <w:r>
        <w:t>2</w:t>
      </w:r>
      <w:r w:rsidR="00DF329D">
        <w:t>,</w:t>
      </w:r>
      <w:r>
        <w:t xml:space="preserve">935 </w:t>
      </w:r>
      <w:r w:rsidR="00DF329D" w:rsidRPr="00C27AEC">
        <w:t xml:space="preserve">employees </w:t>
      </w:r>
      <w:r w:rsidR="00DF329D">
        <w:t>have a salary of between $76,026 and $107,095</w:t>
      </w:r>
      <w:r w:rsidR="00DF329D" w:rsidRPr="00C27AEC">
        <w:t xml:space="preserve">, which is </w:t>
      </w:r>
      <w:r w:rsidR="00DF329D">
        <w:t>3</w:t>
      </w:r>
      <w:r>
        <w:t>4</w:t>
      </w:r>
      <w:r w:rsidR="00DF329D">
        <w:t>.</w:t>
      </w:r>
      <w:r>
        <w:t>3</w:t>
      </w:r>
      <w:r w:rsidR="00DF329D" w:rsidRPr="00C27AEC">
        <w:t xml:space="preserve">% of </w:t>
      </w:r>
      <w:r w:rsidR="00DF329D">
        <w:t>those intending to stay</w:t>
      </w:r>
      <w:r w:rsidR="00DF329D" w:rsidRPr="00C27AEC">
        <w:t>.</w:t>
      </w:r>
    </w:p>
    <w:p w14:paraId="0E61059B" w14:textId="13552806" w:rsidR="00DF329D" w:rsidRPr="00C27AEC" w:rsidRDefault="00DE2D91" w:rsidP="00DF329D">
      <w:r>
        <w:t>4,364</w:t>
      </w:r>
      <w:r w:rsidR="00DF329D" w:rsidRPr="00C27AEC">
        <w:t xml:space="preserve"> employees </w:t>
      </w:r>
      <w:r w:rsidR="00DF329D">
        <w:t>have a salary of between $107,096 and $160,359</w:t>
      </w:r>
      <w:r w:rsidR="00DF329D" w:rsidRPr="00C27AEC">
        <w:t xml:space="preserve">, which is </w:t>
      </w:r>
      <w:r>
        <w:t>51</w:t>
      </w:r>
      <w:r w:rsidR="00DF329D">
        <w:t>.</w:t>
      </w:r>
      <w:r>
        <w:t>1</w:t>
      </w:r>
      <w:r w:rsidR="00DF329D" w:rsidRPr="00C27AEC">
        <w:t xml:space="preserve">% of </w:t>
      </w:r>
      <w:r w:rsidR="00DF329D">
        <w:t>those intending to stay</w:t>
      </w:r>
      <w:r w:rsidR="00DF329D" w:rsidRPr="00C27AEC">
        <w:t>.</w:t>
      </w:r>
    </w:p>
    <w:p w14:paraId="3B20B139" w14:textId="1FE50650" w:rsidR="00DF329D" w:rsidRPr="00C27AEC" w:rsidRDefault="00DF329D" w:rsidP="00DF329D">
      <w:r>
        <w:t>4</w:t>
      </w:r>
      <w:r w:rsidR="00DE2D91">
        <w:t>90</w:t>
      </w:r>
      <w:r>
        <w:t xml:space="preserve"> </w:t>
      </w:r>
      <w:r w:rsidRPr="00C27AEC">
        <w:t xml:space="preserve">employees </w:t>
      </w:r>
      <w:r>
        <w:t>have a salary of between $160,360 and $200,566</w:t>
      </w:r>
      <w:r w:rsidRPr="00C27AEC">
        <w:t xml:space="preserve">, which is </w:t>
      </w:r>
      <w:r w:rsidR="00DE2D91">
        <w:t>5.7</w:t>
      </w:r>
      <w:r w:rsidRPr="00C27AEC">
        <w:t xml:space="preserve">% of </w:t>
      </w:r>
      <w:r>
        <w:t>those intending to stay</w:t>
      </w:r>
      <w:r w:rsidRPr="00C27AEC">
        <w:t>.</w:t>
      </w:r>
    </w:p>
    <w:p w14:paraId="703BAE19" w14:textId="22965924" w:rsidR="00DF329D" w:rsidRDefault="00283E81" w:rsidP="00DF329D">
      <w:r>
        <w:t>220</w:t>
      </w:r>
      <w:r w:rsidR="00DF329D">
        <w:t xml:space="preserve"> </w:t>
      </w:r>
      <w:r w:rsidR="00DF329D" w:rsidRPr="00C27AEC">
        <w:t xml:space="preserve">employees </w:t>
      </w:r>
      <w:r w:rsidR="00DF329D">
        <w:t>have a salary of more than $200,566</w:t>
      </w:r>
      <w:r w:rsidR="00DF329D" w:rsidRPr="00C27AEC">
        <w:t xml:space="preserve">, which is </w:t>
      </w:r>
      <w:r>
        <w:t>2.6</w:t>
      </w:r>
      <w:r w:rsidR="00DF329D" w:rsidRPr="00C27AEC">
        <w:t xml:space="preserve">% of </w:t>
      </w:r>
      <w:r w:rsidR="00DF329D">
        <w:t>those intending to stay</w:t>
      </w:r>
      <w:r w:rsidR="00DF329D" w:rsidRPr="00C27AEC">
        <w:t>.</w:t>
      </w:r>
    </w:p>
    <w:p w14:paraId="3C92DF7B" w14:textId="3C32DDE5" w:rsidR="00DF329D" w:rsidRDefault="00DF329D" w:rsidP="00DF329D">
      <w:pPr>
        <w:pStyle w:val="Heading3"/>
      </w:pPr>
      <w:r>
        <w:t xml:space="preserve">Top 3 types of work of </w:t>
      </w:r>
      <w:r w:rsidR="00BD54D3">
        <w:t>male</w:t>
      </w:r>
      <w:r w:rsidR="000D1742">
        <w:t xml:space="preserve"> employee</w:t>
      </w:r>
      <w:r w:rsidR="00BD54D3">
        <w:t>s</w:t>
      </w:r>
      <w:r>
        <w:t xml:space="preserve"> who identify as </w:t>
      </w:r>
      <w:proofErr w:type="gramStart"/>
      <w:r>
        <w:t>leaders</w:t>
      </w:r>
      <w:proofErr w:type="gramEnd"/>
    </w:p>
    <w:p w14:paraId="78BAAA01" w14:textId="77777777" w:rsidR="00DF329D" w:rsidRDefault="00DF329D" w:rsidP="00347E77">
      <w:pPr>
        <w:pStyle w:val="ListParagraph"/>
        <w:numPr>
          <w:ilvl w:val="0"/>
          <w:numId w:val="29"/>
        </w:numPr>
      </w:pPr>
      <w:r>
        <w:t>Management</w:t>
      </w:r>
    </w:p>
    <w:p w14:paraId="2C13ED7D" w14:textId="68A2FCE5" w:rsidR="00283E81" w:rsidRDefault="00283E81" w:rsidP="00347E77">
      <w:pPr>
        <w:pStyle w:val="ListParagraph"/>
        <w:numPr>
          <w:ilvl w:val="0"/>
          <w:numId w:val="29"/>
        </w:numPr>
      </w:pPr>
      <w:r>
        <w:t>Teaching, lecturing, training, vocational support</w:t>
      </w:r>
    </w:p>
    <w:p w14:paraId="745DA752" w14:textId="680DE87E" w:rsidR="00B86CAC" w:rsidRDefault="00283E81" w:rsidP="00347E77">
      <w:pPr>
        <w:pStyle w:val="ListParagraph"/>
        <w:numPr>
          <w:ilvl w:val="0"/>
          <w:numId w:val="29"/>
        </w:numPr>
      </w:pPr>
      <w:r>
        <w:t>Policing, law enforcement, intelligence, security, public safety</w:t>
      </w:r>
      <w:r w:rsidR="00347E77">
        <w:t>.</w:t>
      </w:r>
    </w:p>
    <w:p w14:paraId="11E72825" w14:textId="6DF40163" w:rsidR="006414F2" w:rsidRDefault="006414F2" w:rsidP="00347E77">
      <w:pPr>
        <w:pStyle w:val="Heading2"/>
      </w:pPr>
      <w:r>
        <w:t xml:space="preserve">Employees from diversity groups that identify as </w:t>
      </w:r>
      <w:proofErr w:type="gramStart"/>
      <w:r>
        <w:t>leaders</w:t>
      </w:r>
      <w:proofErr w:type="gramEnd"/>
    </w:p>
    <w:p w14:paraId="1F81C278" w14:textId="03C7A138" w:rsidR="006414F2" w:rsidRDefault="006414F2" w:rsidP="00347E77">
      <w:pPr>
        <w:pStyle w:val="Heading3"/>
      </w:pPr>
      <w:r>
        <w:t>Aboriginal and Torres Strait Islander</w:t>
      </w:r>
      <w:r w:rsidR="00DF20C1">
        <w:t xml:space="preserve"> people</w:t>
      </w:r>
    </w:p>
    <w:p w14:paraId="2A4BC344" w14:textId="6CB2F159" w:rsidR="00DF20C1" w:rsidRDefault="00DF20C1" w:rsidP="00DF20C1">
      <w:r>
        <w:t xml:space="preserve">589 employees, which is 54.7% of Aboriginal and Torres Strait Islander </w:t>
      </w:r>
      <w:r w:rsidR="00347E77">
        <w:t>employees</w:t>
      </w:r>
      <w:r>
        <w:t xml:space="preserve">, </w:t>
      </w:r>
      <w:r w:rsidR="001B72BE">
        <w:t>identify as leaders</w:t>
      </w:r>
      <w:r>
        <w:t>.</w:t>
      </w:r>
      <w:r w:rsidR="00347E77">
        <w:t xml:space="preserve"> This is 1 out of 2 Aboriginal and Torres Strait Islander employees.</w:t>
      </w:r>
    </w:p>
    <w:p w14:paraId="062009F6" w14:textId="3357606E" w:rsidR="001B72BE" w:rsidRDefault="00B54D6E" w:rsidP="00347E77">
      <w:pPr>
        <w:pStyle w:val="Heading3"/>
      </w:pPr>
      <w:r>
        <w:t>Culturally and linguistically diverse</w:t>
      </w:r>
      <w:r w:rsidR="001B72BE">
        <w:t xml:space="preserve"> people</w:t>
      </w:r>
    </w:p>
    <w:p w14:paraId="162AC3DD" w14:textId="1F998D69" w:rsidR="001B72BE" w:rsidRDefault="00B54D6E" w:rsidP="001B72BE">
      <w:r>
        <w:t>3,041</w:t>
      </w:r>
      <w:r w:rsidR="001B72BE">
        <w:t xml:space="preserve"> employees, which is </w:t>
      </w:r>
      <w:r>
        <w:t>44.1</w:t>
      </w:r>
      <w:r w:rsidR="001B72BE">
        <w:t xml:space="preserve">% of </w:t>
      </w:r>
      <w:r>
        <w:t>culturally and linguistically diverse</w:t>
      </w:r>
      <w:r w:rsidR="001B72BE">
        <w:t xml:space="preserve"> </w:t>
      </w:r>
      <w:r w:rsidR="00347E77">
        <w:t>employees</w:t>
      </w:r>
      <w:r w:rsidR="001B72BE">
        <w:t>, identify as leaders.</w:t>
      </w:r>
      <w:r w:rsidR="00347E77">
        <w:t xml:space="preserve"> This is 2 out of 5 culturally and linguistically diverse employees.</w:t>
      </w:r>
    </w:p>
    <w:p w14:paraId="45D76EFD" w14:textId="2E689388" w:rsidR="001B72BE" w:rsidRDefault="00B54D6E" w:rsidP="00347E77">
      <w:pPr>
        <w:pStyle w:val="Heading3"/>
      </w:pPr>
      <w:r>
        <w:t>People with disability</w:t>
      </w:r>
    </w:p>
    <w:p w14:paraId="74C9B061" w14:textId="500E97A8" w:rsidR="001B72BE" w:rsidRDefault="00B54D6E" w:rsidP="001B72BE">
      <w:r>
        <w:t>560</w:t>
      </w:r>
      <w:r w:rsidR="001B72BE">
        <w:t xml:space="preserve"> employees, which is </w:t>
      </w:r>
      <w:r>
        <w:t>4</w:t>
      </w:r>
      <w:r w:rsidR="001B72BE">
        <w:t>4.</w:t>
      </w:r>
      <w:r>
        <w:t>2</w:t>
      </w:r>
      <w:r w:rsidR="001B72BE">
        <w:t xml:space="preserve">% of </w:t>
      </w:r>
      <w:r w:rsidR="00C35D4A">
        <w:t>employees</w:t>
      </w:r>
      <w:r>
        <w:t xml:space="preserve"> with disability</w:t>
      </w:r>
      <w:r w:rsidR="001B72BE">
        <w:t>, identify as leaders.</w:t>
      </w:r>
      <w:r w:rsidR="00347E77" w:rsidRPr="00347E77">
        <w:t xml:space="preserve"> </w:t>
      </w:r>
      <w:r w:rsidR="00347E77">
        <w:t xml:space="preserve">This is 1 out of 2 </w:t>
      </w:r>
      <w:r w:rsidR="00C35D4A">
        <w:t>employees with disability</w:t>
      </w:r>
      <w:r w:rsidR="00347E77">
        <w:t>.</w:t>
      </w:r>
    </w:p>
    <w:p w14:paraId="11990D5A" w14:textId="77777777" w:rsidR="00F22AEB" w:rsidRDefault="00F22AEB" w:rsidP="00347E77">
      <w:pPr>
        <w:pStyle w:val="Heading3"/>
      </w:pPr>
      <w:r w:rsidRPr="00E67942">
        <w:rPr>
          <w:rStyle w:val="Heading4Char"/>
        </w:rPr>
        <w:lastRenderedPageBreak/>
        <w:t>Diverse gender identities, sexual orientation and sex characteristics</w:t>
      </w:r>
    </w:p>
    <w:p w14:paraId="0DD10582" w14:textId="2B864612" w:rsidR="001B72BE" w:rsidRDefault="00F22AEB" w:rsidP="00F22AEB">
      <w:r>
        <w:t>1,678</w:t>
      </w:r>
      <w:r w:rsidR="001B72BE">
        <w:t xml:space="preserve"> employees, which is </w:t>
      </w:r>
      <w:r>
        <w:t>65</w:t>
      </w:r>
      <w:r w:rsidR="001B72BE">
        <w:t>.</w:t>
      </w:r>
      <w:r>
        <w:t>2</w:t>
      </w:r>
      <w:r w:rsidR="001B72BE">
        <w:t>% of</w:t>
      </w:r>
      <w:r>
        <w:t xml:space="preserve"> people </w:t>
      </w:r>
      <w:r w:rsidR="00A875C8">
        <w:t>of all</w:t>
      </w:r>
      <w:r>
        <w:t xml:space="preserve"> d</w:t>
      </w:r>
      <w:r w:rsidRPr="00E67942">
        <w:t xml:space="preserve">iverse gender identities, sexual </w:t>
      </w:r>
      <w:proofErr w:type="gramStart"/>
      <w:r w:rsidRPr="00E67942">
        <w:t>orientation</w:t>
      </w:r>
      <w:proofErr w:type="gramEnd"/>
      <w:r w:rsidRPr="00E67942">
        <w:t xml:space="preserve"> and sex characteristics</w:t>
      </w:r>
      <w:r w:rsidR="001B72BE">
        <w:t xml:space="preserve">, identify as leaders. </w:t>
      </w:r>
      <w:r w:rsidR="00E458AF">
        <w:t>This is 2 out of 3 people of all d</w:t>
      </w:r>
      <w:r w:rsidR="00E458AF" w:rsidRPr="00E67942">
        <w:t xml:space="preserve">iverse gender identities, sexual </w:t>
      </w:r>
      <w:proofErr w:type="gramStart"/>
      <w:r w:rsidR="00E458AF" w:rsidRPr="00E67942">
        <w:t>orientation</w:t>
      </w:r>
      <w:proofErr w:type="gramEnd"/>
      <w:r w:rsidR="00E458AF" w:rsidRPr="00E67942">
        <w:t xml:space="preserve"> and sex characteristics</w:t>
      </w:r>
      <w:r w:rsidR="00E458AF">
        <w:t>.</w:t>
      </w:r>
    </w:p>
    <w:p w14:paraId="7CF02CD2" w14:textId="6C98EF1A" w:rsidR="001B72BE" w:rsidRDefault="00F22AEB" w:rsidP="00347E77">
      <w:pPr>
        <w:pStyle w:val="Heading3"/>
      </w:pPr>
      <w:r>
        <w:t>All other employees</w:t>
      </w:r>
    </w:p>
    <w:p w14:paraId="24F471F2" w14:textId="71D395C0" w:rsidR="001B72BE" w:rsidRDefault="00F22AEB" w:rsidP="001B72BE">
      <w:r>
        <w:t>17,243</w:t>
      </w:r>
      <w:r w:rsidR="001B72BE">
        <w:t xml:space="preserve"> employees, which is 5</w:t>
      </w:r>
      <w:r>
        <w:t>2</w:t>
      </w:r>
      <w:r w:rsidR="001B72BE">
        <w:t>.</w:t>
      </w:r>
      <w:r>
        <w:t>8</w:t>
      </w:r>
      <w:r w:rsidR="001B72BE">
        <w:t xml:space="preserve">% </w:t>
      </w:r>
      <w:r>
        <w:t>of all other employees</w:t>
      </w:r>
      <w:r w:rsidR="001B72BE">
        <w:t xml:space="preserve">, identify as leaders. </w:t>
      </w:r>
      <w:r w:rsidR="00E458AF">
        <w:t>This is 1 out of 2 other employees.</w:t>
      </w:r>
    </w:p>
    <w:p w14:paraId="18CF6473" w14:textId="0AE64801" w:rsidR="00F22AEB" w:rsidRDefault="00BD4C87" w:rsidP="00347E77">
      <w:pPr>
        <w:pStyle w:val="Heading2"/>
      </w:pPr>
      <w:r>
        <w:t>Development and performance</w:t>
      </w:r>
    </w:p>
    <w:p w14:paraId="71C66299" w14:textId="58BC4278" w:rsidR="00BD4C87" w:rsidRPr="00BD4C87" w:rsidRDefault="00BD4C87" w:rsidP="00BD4C87">
      <w:r>
        <w:t>32,230 employees, which is 68.4% of the sector, have a development or performance agreement currently in place.</w:t>
      </w:r>
    </w:p>
    <w:p w14:paraId="7347E30D" w14:textId="60EA1DA0" w:rsidR="001B72BE" w:rsidRDefault="00BD4C87" w:rsidP="00DF20C1">
      <w:r>
        <w:t>12,259 employees, which is 26.0% of the sector, do not or don’t know if they have a development or performance agreement currently in place.</w:t>
      </w:r>
    </w:p>
    <w:p w14:paraId="02D4B19C" w14:textId="43D2D3A9" w:rsidR="00EB5531" w:rsidRDefault="00EB5531" w:rsidP="00347E77">
      <w:pPr>
        <w:pStyle w:val="Heading2"/>
      </w:pPr>
      <w:r>
        <w:t>Studying</w:t>
      </w:r>
    </w:p>
    <w:p w14:paraId="317CA46B" w14:textId="5D24E8D3" w:rsidR="00EB5531" w:rsidRDefault="00EB5531" w:rsidP="00EB5531">
      <w:r>
        <w:t>10,842 employees, which is 23.0% of the sector, are currently studying to progress their career</w:t>
      </w:r>
      <w:r w:rsidR="00E458AF">
        <w:t>.</w:t>
      </w:r>
    </w:p>
    <w:p w14:paraId="26D876CA" w14:textId="27BA3267" w:rsidR="00FF6208" w:rsidRDefault="00FF6208" w:rsidP="00FF6208">
      <w:pPr>
        <w:pStyle w:val="Heading4"/>
      </w:pPr>
      <w:r>
        <w:t>Top 3 study qualifications</w:t>
      </w:r>
    </w:p>
    <w:p w14:paraId="393E9270" w14:textId="77777777" w:rsidR="00A65486" w:rsidRPr="00E67942" w:rsidRDefault="00A65486" w:rsidP="00E458AF">
      <w:pPr>
        <w:pStyle w:val="ListParagraph"/>
        <w:numPr>
          <w:ilvl w:val="0"/>
          <w:numId w:val="30"/>
        </w:numPr>
      </w:pPr>
      <w:r w:rsidRPr="00E67942">
        <w:t xml:space="preserve">Professional ongoing development to maintain certification or </w:t>
      </w:r>
      <w:proofErr w:type="gramStart"/>
      <w:r w:rsidRPr="00E67942">
        <w:t>registration</w:t>
      </w:r>
      <w:proofErr w:type="gramEnd"/>
    </w:p>
    <w:p w14:paraId="3084B598" w14:textId="0AC9992E" w:rsidR="00A65486" w:rsidRPr="00E67942" w:rsidRDefault="00A65486" w:rsidP="00E458AF">
      <w:pPr>
        <w:pStyle w:val="ListParagraph"/>
        <w:numPr>
          <w:ilvl w:val="0"/>
          <w:numId w:val="30"/>
        </w:numPr>
      </w:pPr>
      <w:r w:rsidRPr="00E67942">
        <w:t>Online course</w:t>
      </w:r>
    </w:p>
    <w:p w14:paraId="2AA59A2A" w14:textId="6C04CD14" w:rsidR="006414F2" w:rsidRDefault="00A65486" w:rsidP="00E458AF">
      <w:pPr>
        <w:pStyle w:val="ListParagraph"/>
        <w:numPr>
          <w:ilvl w:val="0"/>
          <w:numId w:val="30"/>
        </w:numPr>
      </w:pPr>
      <w:r w:rsidRPr="00E67942">
        <w:t>Advanced diploma</w:t>
      </w:r>
      <w:r w:rsidR="00E458AF">
        <w:t>.</w:t>
      </w:r>
    </w:p>
    <w:p w14:paraId="1EEA2EBF" w14:textId="77777777" w:rsidR="00952886" w:rsidRDefault="00952886">
      <w:pPr>
        <w:rPr>
          <w:rFonts w:ascii="Century Gothic" w:eastAsiaTheme="majorEastAsia" w:hAnsi="Century Gothic" w:cstheme="majorBidi"/>
          <w:b/>
          <w:sz w:val="32"/>
          <w:szCs w:val="26"/>
        </w:rPr>
      </w:pPr>
      <w:r>
        <w:br w:type="page"/>
      </w:r>
    </w:p>
    <w:p w14:paraId="52387BC5" w14:textId="4D06F4CD" w:rsidR="009625C6" w:rsidRDefault="009625C6" w:rsidP="00E67942">
      <w:pPr>
        <w:pStyle w:val="Heading1"/>
      </w:pPr>
      <w:r>
        <w:lastRenderedPageBreak/>
        <w:t>Data quality statement</w:t>
      </w:r>
    </w:p>
    <w:p w14:paraId="6F66E31F" w14:textId="77777777" w:rsidR="00235D7F" w:rsidRPr="00874E60" w:rsidRDefault="00910048" w:rsidP="00874E60">
      <w:pPr>
        <w:pStyle w:val="Heading2"/>
      </w:pPr>
      <w:r w:rsidRPr="00874E60">
        <w:rPr>
          <w:rStyle w:val="Heading3Char"/>
          <w:b/>
          <w:sz w:val="32"/>
          <w:szCs w:val="26"/>
        </w:rPr>
        <w:t>Institutional environment</w:t>
      </w:r>
    </w:p>
    <w:p w14:paraId="6A7E996F" w14:textId="2C3B0621" w:rsidR="00910048" w:rsidRPr="00E67942" w:rsidRDefault="00910048" w:rsidP="009625C6">
      <w:r w:rsidRPr="00E67942">
        <w:t>The WA Public Sector Commission led the first Census of all public sector employees. Participation was voluntary. The Census information will be used for workforce planning, workforce policy and workforce statistical activities by the Commission and agencies.</w:t>
      </w:r>
    </w:p>
    <w:p w14:paraId="1BB62BBD" w14:textId="77777777" w:rsidR="00235D7F" w:rsidRPr="00874E60" w:rsidRDefault="00910048" w:rsidP="00874E60">
      <w:pPr>
        <w:pStyle w:val="Heading2"/>
      </w:pPr>
      <w:r w:rsidRPr="00874E60">
        <w:rPr>
          <w:rStyle w:val="Heading3Char"/>
          <w:b/>
          <w:sz w:val="32"/>
          <w:szCs w:val="26"/>
        </w:rPr>
        <w:t>Relevance</w:t>
      </w:r>
    </w:p>
    <w:p w14:paraId="39E1DA5C" w14:textId="40E54CBD" w:rsidR="00787F83" w:rsidRDefault="00910048" w:rsidP="009625C6">
      <w:r w:rsidRPr="00E67942">
        <w:t>Permanent, fixed-term contract, casual, sessional, sworn police officers and Chief Executive Officer</w:t>
      </w:r>
      <w:r w:rsidR="00E458AF">
        <w:t xml:space="preserve"> and </w:t>
      </w:r>
      <w:r w:rsidRPr="00E67942">
        <w:t>Senior Executive Service employees from the WA public sector were asked to participate. The scope covered 66 agencies, which included 116 entities. Topics covered included demographics, tenure, workforce characteristics, diversity, education, job type, integrity, flexible working, bullying and harassment, and discrimination.</w:t>
      </w:r>
    </w:p>
    <w:p w14:paraId="7D84E6C9" w14:textId="77777777" w:rsidR="00787F83" w:rsidRDefault="00910048" w:rsidP="009625C6">
      <w:r w:rsidRPr="00E67942">
        <w:t>Percentages are calculated using the most relevant data. For example, when percentages for females or males are shown, they are based on the responses as a percentage of the total number of females or males who responded to the census.</w:t>
      </w:r>
    </w:p>
    <w:p w14:paraId="55ECC6CB" w14:textId="29BE1DAB" w:rsidR="00910048" w:rsidRPr="00E67942" w:rsidRDefault="00910048" w:rsidP="009625C6">
      <w:r w:rsidRPr="00E67942">
        <w:t>Partial responses were included if they met pre-determined criteria based on the number of questions answered. This means the expected number of responses per question may differ.</w:t>
      </w:r>
    </w:p>
    <w:p w14:paraId="0AD64375" w14:textId="77777777" w:rsidR="00787F83" w:rsidRPr="00874E60" w:rsidRDefault="00910048" w:rsidP="00874E60">
      <w:pPr>
        <w:pStyle w:val="Heading2"/>
      </w:pPr>
      <w:r w:rsidRPr="00874E60">
        <w:rPr>
          <w:rStyle w:val="Heading3Char"/>
          <w:b/>
          <w:sz w:val="32"/>
          <w:szCs w:val="26"/>
        </w:rPr>
        <w:t>Timeliness</w:t>
      </w:r>
    </w:p>
    <w:p w14:paraId="29A5A663" w14:textId="634C8D51" w:rsidR="00910048" w:rsidRPr="00E67942" w:rsidRDefault="00910048" w:rsidP="009625C6">
      <w:r w:rsidRPr="00E67942">
        <w:t>The Census was open for 6 weeks from 6 March to 16 April 2023 inclusive. This included a soft open which commenced on 6 March 2023. The official live period occurred from 13 March to 2 April 2023. 44 out of the 66 agencies opted for a one-week extension until 9 April 2023 to increase their response rates. A soft close occurred until 16 April 2023.</w:t>
      </w:r>
    </w:p>
    <w:p w14:paraId="22BB71DA" w14:textId="77777777" w:rsidR="00787F83" w:rsidRPr="00874E60" w:rsidRDefault="00910048" w:rsidP="00874E60">
      <w:pPr>
        <w:pStyle w:val="Heading2"/>
      </w:pPr>
      <w:r w:rsidRPr="00874E60">
        <w:rPr>
          <w:rStyle w:val="Heading3Char"/>
          <w:b/>
          <w:sz w:val="32"/>
          <w:szCs w:val="26"/>
        </w:rPr>
        <w:t>Accuracy</w:t>
      </w:r>
    </w:p>
    <w:p w14:paraId="21A5C190" w14:textId="58E21A56" w:rsidR="00910048" w:rsidRPr="00E67942" w:rsidRDefault="00910048" w:rsidP="009625C6">
      <w:r w:rsidRPr="00E67942">
        <w:t xml:space="preserve">Approximately 165,340 employees in the WA Public Sector were asked to voluntarily participate in the Census. Total number of responses was 47,115 (28.5%). Employees completed the Census using an anonymous link (97%) or through a </w:t>
      </w:r>
      <w:r w:rsidR="005E15CE">
        <w:t>quick response (</w:t>
      </w:r>
      <w:r w:rsidRPr="00E67942">
        <w:t>QR</w:t>
      </w:r>
      <w:r w:rsidR="005E15CE">
        <w:t>)</w:t>
      </w:r>
      <w:r w:rsidRPr="00E67942">
        <w:t xml:space="preserve"> code (3%). Agencies engaged their employees, encouraged </w:t>
      </w:r>
      <w:proofErr w:type="gramStart"/>
      <w:r w:rsidRPr="00E67942">
        <w:t>participation</w:t>
      </w:r>
      <w:proofErr w:type="gramEnd"/>
      <w:r w:rsidRPr="00E67942">
        <w:t xml:space="preserve"> and distributed the link</w:t>
      </w:r>
      <w:r w:rsidR="00E458AF">
        <w:t xml:space="preserve"> and </w:t>
      </w:r>
      <w:r w:rsidRPr="00E67942">
        <w:t>QR code.</w:t>
      </w:r>
    </w:p>
    <w:p w14:paraId="29B10E5F" w14:textId="77777777" w:rsidR="00787F83" w:rsidRPr="00874E60" w:rsidRDefault="00910048" w:rsidP="00874E60">
      <w:pPr>
        <w:pStyle w:val="Heading2"/>
      </w:pPr>
      <w:r w:rsidRPr="00874E60">
        <w:rPr>
          <w:rStyle w:val="Heading3Char"/>
          <w:b/>
          <w:sz w:val="32"/>
          <w:szCs w:val="26"/>
        </w:rPr>
        <w:t>Coherence</w:t>
      </w:r>
    </w:p>
    <w:p w14:paraId="5E9409ED" w14:textId="77777777" w:rsidR="009D1A69" w:rsidRDefault="00910048" w:rsidP="009625C6">
      <w:r w:rsidRPr="00E67942">
        <w:t>The Census collects sector wide information not currently available through other sources, such as additional information on diversity and why employees plan to stay or leave an agency. Census data can be used in conjunction with other data sources, such as Human Resource Minimum Obligatory Information Requirements (HR MOIR) to provide additional insights. For the 17 agencies who participated in the 2021 Census Pilot, the 2023 Census is comparable as most questions remain unchanged.</w:t>
      </w:r>
    </w:p>
    <w:p w14:paraId="0C0282CA" w14:textId="177C4952" w:rsidR="00910048" w:rsidRPr="00E67942" w:rsidRDefault="00910048" w:rsidP="009625C6">
      <w:r w:rsidRPr="00E67942">
        <w:t>Some payroll information presented in this document will differ to sector wide published information. For example, appointment type is shown by headcount to match Census methodology, whereas</w:t>
      </w:r>
      <w:r w:rsidR="005E15CE">
        <w:t xml:space="preserve"> full time equivalent (</w:t>
      </w:r>
      <w:r w:rsidRPr="00E67942">
        <w:t>FTE</w:t>
      </w:r>
      <w:r w:rsidR="005E15CE">
        <w:t>)</w:t>
      </w:r>
      <w:r w:rsidRPr="00E67942">
        <w:t xml:space="preserve"> is often published for sector wide workforce statistics.</w:t>
      </w:r>
    </w:p>
    <w:p w14:paraId="6D34D032" w14:textId="77777777" w:rsidR="009D1A69" w:rsidRPr="00874E60" w:rsidRDefault="00910048" w:rsidP="00874E60">
      <w:pPr>
        <w:pStyle w:val="Heading2"/>
      </w:pPr>
      <w:r w:rsidRPr="00874E60">
        <w:rPr>
          <w:rStyle w:val="Heading3Char"/>
          <w:b/>
          <w:sz w:val="32"/>
          <w:szCs w:val="26"/>
        </w:rPr>
        <w:lastRenderedPageBreak/>
        <w:t>Interpretability</w:t>
      </w:r>
    </w:p>
    <w:p w14:paraId="412F6E40" w14:textId="77777777" w:rsidR="0088396E" w:rsidRDefault="00910048" w:rsidP="009625C6">
      <w:r w:rsidRPr="00E67942">
        <w:t>The Census comprised of 91 questions that an employee could be sequenced. Sequencing occurred based on answers to previous questions. For example, all employees were asked whether they had experienced bullying and harassment. However, only those that answered yes to this question were asked subsequent questions about that experience.</w:t>
      </w:r>
    </w:p>
    <w:p w14:paraId="6653CA66" w14:textId="77777777" w:rsidR="0088396E" w:rsidRDefault="00910048" w:rsidP="009625C6">
      <w:r w:rsidRPr="00E67942">
        <w:t>Potentially sensitive questions included an option of ‘prefer not to say’. Results presented for these questions exclude these responses when calculating percentages and totals.</w:t>
      </w:r>
    </w:p>
    <w:p w14:paraId="0D61E80F" w14:textId="5F47680E" w:rsidR="00235D7F" w:rsidRPr="00E67942" w:rsidRDefault="00910048" w:rsidP="009625C6">
      <w:r w:rsidRPr="00E67942">
        <w:t>Most questions only allowed one response to be selected. However, there are questions where a respondent could choose more than one response (multi-response). This means that the count of response options for a multi</w:t>
      </w:r>
      <w:r w:rsidR="00952886">
        <w:t>-</w:t>
      </w:r>
      <w:r w:rsidRPr="00E67942">
        <w:t>response question may be higher than the number of people who responded.</w:t>
      </w:r>
    </w:p>
    <w:p w14:paraId="4CDE0145" w14:textId="77777777" w:rsidR="0088396E" w:rsidRPr="00874E60" w:rsidRDefault="00910048" w:rsidP="00874E60">
      <w:pPr>
        <w:pStyle w:val="Heading2"/>
      </w:pPr>
      <w:r w:rsidRPr="00874E60">
        <w:rPr>
          <w:rStyle w:val="Heading3Char"/>
          <w:b/>
          <w:sz w:val="32"/>
          <w:szCs w:val="26"/>
        </w:rPr>
        <w:t>Accessibility</w:t>
      </w:r>
    </w:p>
    <w:p w14:paraId="0A607173" w14:textId="1D57D047" w:rsidR="009C7ADE" w:rsidRPr="009C7ADE" w:rsidRDefault="00910048" w:rsidP="00506544">
      <w:r w:rsidRPr="00E67942">
        <w:t xml:space="preserve">Access to individual level data in the Commission is restricted on a </w:t>
      </w:r>
      <w:proofErr w:type="gramStart"/>
      <w:r w:rsidRPr="00E67942">
        <w:t>need to know</w:t>
      </w:r>
      <w:proofErr w:type="gramEnd"/>
      <w:r w:rsidRPr="00E67942">
        <w:t xml:space="preserve"> basis. User access permissions ensure only </w:t>
      </w:r>
      <w:proofErr w:type="spellStart"/>
      <w:r w:rsidRPr="00E67942">
        <w:t>authorised</w:t>
      </w:r>
      <w:proofErr w:type="spellEnd"/>
      <w:r w:rsidRPr="00E67942">
        <w:t xml:space="preserve"> staff have access to this data. Census data is used to produce aggregate statistics (grouped in totals). These are provided to WA public sector agencies. Aggregated statistics provided to a WA public sector agency may be shared by that agency to communicate results to their employees and respond to enquiries. Individual responses are not provided to agencies. Information is aggregated and provided only when there are enough responses to maintain the confidentiality of individual responses. Text fields are limited to postcodes and language spoken.</w:t>
      </w:r>
    </w:p>
    <w:sectPr w:rsidR="009C7ADE" w:rsidRPr="009C7ADE" w:rsidSect="00861C9A">
      <w:headerReference w:type="default" r:id="rId13"/>
      <w:footerReference w:type="default" r:id="rId14"/>
      <w:type w:val="continuous"/>
      <w:pgSz w:w="12240" w:h="15840"/>
      <w:pgMar w:top="1276"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4A37" w14:textId="77777777" w:rsidR="006955FC" w:rsidRDefault="006955FC" w:rsidP="00584F85">
      <w:pPr>
        <w:spacing w:after="0" w:line="240" w:lineRule="auto"/>
      </w:pPr>
      <w:r>
        <w:separator/>
      </w:r>
    </w:p>
  </w:endnote>
  <w:endnote w:type="continuationSeparator" w:id="0">
    <w:p w14:paraId="354C12E1" w14:textId="77777777" w:rsidR="006955FC" w:rsidRDefault="006955FC" w:rsidP="00584F85">
      <w:pPr>
        <w:spacing w:after="0" w:line="240" w:lineRule="auto"/>
      </w:pPr>
      <w:r>
        <w:continuationSeparator/>
      </w:r>
    </w:p>
  </w:endnote>
  <w:endnote w:type="continuationNotice" w:id="1">
    <w:p w14:paraId="51E5ED7A" w14:textId="77777777" w:rsidR="006955FC" w:rsidRDefault="00695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99BFD0" w14:paraId="0C310742" w14:textId="77777777" w:rsidTr="5D99BFD0">
      <w:trPr>
        <w:trHeight w:val="300"/>
      </w:trPr>
      <w:tc>
        <w:tcPr>
          <w:tcW w:w="3120" w:type="dxa"/>
        </w:tcPr>
        <w:p w14:paraId="2E240E32" w14:textId="3033EC24" w:rsidR="5D99BFD0" w:rsidRDefault="5D99BFD0" w:rsidP="5D99BFD0">
          <w:pPr>
            <w:pStyle w:val="Header"/>
            <w:ind w:left="-115"/>
          </w:pPr>
        </w:p>
      </w:tc>
      <w:tc>
        <w:tcPr>
          <w:tcW w:w="3120" w:type="dxa"/>
        </w:tcPr>
        <w:p w14:paraId="44CD5D7C" w14:textId="468BB691" w:rsidR="5D99BFD0" w:rsidRDefault="5D99BFD0" w:rsidP="5D99BFD0">
          <w:pPr>
            <w:pStyle w:val="Header"/>
            <w:jc w:val="center"/>
          </w:pPr>
        </w:p>
      </w:tc>
      <w:tc>
        <w:tcPr>
          <w:tcW w:w="3120" w:type="dxa"/>
        </w:tcPr>
        <w:p w14:paraId="2CC158FE" w14:textId="2C58D028" w:rsidR="5D99BFD0" w:rsidRDefault="5D99BFD0" w:rsidP="5D99BFD0">
          <w:pPr>
            <w:pStyle w:val="Header"/>
            <w:ind w:right="-115"/>
            <w:jc w:val="right"/>
          </w:pPr>
        </w:p>
      </w:tc>
    </w:tr>
  </w:tbl>
  <w:p w14:paraId="7C7E1342" w14:textId="43D4E2E2" w:rsidR="00584F85" w:rsidRDefault="00584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99BFD0" w14:paraId="3E511988" w14:textId="77777777" w:rsidTr="5D99BFD0">
      <w:trPr>
        <w:trHeight w:val="300"/>
      </w:trPr>
      <w:tc>
        <w:tcPr>
          <w:tcW w:w="3120" w:type="dxa"/>
        </w:tcPr>
        <w:p w14:paraId="59C241F4" w14:textId="0905F9DE" w:rsidR="5D99BFD0" w:rsidRDefault="5D99BFD0" w:rsidP="5D99BFD0">
          <w:pPr>
            <w:pStyle w:val="Header"/>
            <w:ind w:left="-115"/>
          </w:pPr>
        </w:p>
      </w:tc>
      <w:tc>
        <w:tcPr>
          <w:tcW w:w="3120" w:type="dxa"/>
        </w:tcPr>
        <w:p w14:paraId="1321DBAF" w14:textId="15211897" w:rsidR="5D99BFD0" w:rsidRDefault="5D99BFD0" w:rsidP="5D99BFD0">
          <w:pPr>
            <w:pStyle w:val="Header"/>
            <w:jc w:val="center"/>
          </w:pPr>
        </w:p>
      </w:tc>
      <w:tc>
        <w:tcPr>
          <w:tcW w:w="3120" w:type="dxa"/>
        </w:tcPr>
        <w:p w14:paraId="1DBA6925" w14:textId="15B79D26" w:rsidR="5D99BFD0" w:rsidRDefault="5D99BFD0" w:rsidP="5D99BFD0">
          <w:pPr>
            <w:pStyle w:val="Header"/>
            <w:ind w:right="-115"/>
            <w:jc w:val="right"/>
          </w:pPr>
        </w:p>
      </w:tc>
    </w:tr>
  </w:tbl>
  <w:p w14:paraId="0C78BAD5" w14:textId="7FB14100" w:rsidR="00584F85" w:rsidRDefault="00584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9CA67" w14:textId="77777777" w:rsidR="006955FC" w:rsidRDefault="006955FC" w:rsidP="00584F85">
      <w:pPr>
        <w:spacing w:after="0" w:line="240" w:lineRule="auto"/>
      </w:pPr>
      <w:r>
        <w:separator/>
      </w:r>
    </w:p>
  </w:footnote>
  <w:footnote w:type="continuationSeparator" w:id="0">
    <w:p w14:paraId="0031DE27" w14:textId="77777777" w:rsidR="006955FC" w:rsidRDefault="006955FC" w:rsidP="00584F85">
      <w:pPr>
        <w:spacing w:after="0" w:line="240" w:lineRule="auto"/>
      </w:pPr>
      <w:r>
        <w:continuationSeparator/>
      </w:r>
    </w:p>
  </w:footnote>
  <w:footnote w:type="continuationNotice" w:id="1">
    <w:p w14:paraId="4AA2C359" w14:textId="77777777" w:rsidR="006955FC" w:rsidRDefault="00695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99BFD0" w14:paraId="32EEC090" w14:textId="77777777" w:rsidTr="5D99BFD0">
      <w:trPr>
        <w:trHeight w:val="300"/>
      </w:trPr>
      <w:tc>
        <w:tcPr>
          <w:tcW w:w="3120" w:type="dxa"/>
        </w:tcPr>
        <w:p w14:paraId="38C28FA8" w14:textId="72C7A512" w:rsidR="5D99BFD0" w:rsidRDefault="5D99BFD0" w:rsidP="5D99BFD0">
          <w:pPr>
            <w:pStyle w:val="Header"/>
            <w:ind w:left="-115"/>
          </w:pPr>
        </w:p>
      </w:tc>
      <w:tc>
        <w:tcPr>
          <w:tcW w:w="3120" w:type="dxa"/>
        </w:tcPr>
        <w:p w14:paraId="23E89E7C" w14:textId="396DA360" w:rsidR="5D99BFD0" w:rsidRDefault="5D99BFD0" w:rsidP="5D99BFD0">
          <w:pPr>
            <w:pStyle w:val="Header"/>
            <w:jc w:val="center"/>
          </w:pPr>
        </w:p>
      </w:tc>
      <w:tc>
        <w:tcPr>
          <w:tcW w:w="3120" w:type="dxa"/>
        </w:tcPr>
        <w:p w14:paraId="7937D6DC" w14:textId="37DC53C1" w:rsidR="5D99BFD0" w:rsidRDefault="5D99BFD0" w:rsidP="5D99BFD0">
          <w:pPr>
            <w:pStyle w:val="Header"/>
            <w:ind w:right="-115"/>
            <w:jc w:val="right"/>
          </w:pPr>
        </w:p>
      </w:tc>
    </w:tr>
  </w:tbl>
  <w:p w14:paraId="5FA7B6A7" w14:textId="70149474" w:rsidR="00584F85" w:rsidRDefault="00AE0805">
    <w:pPr>
      <w:pStyle w:val="Header"/>
    </w:pPr>
    <w:r>
      <w:rPr>
        <w:noProof/>
        <w:lang w:eastAsia="en-AU"/>
      </w:rPr>
      <w:drawing>
        <wp:anchor distT="0" distB="0" distL="114300" distR="114300" simplePos="0" relativeHeight="251659264" behindDoc="0" locked="0" layoutInCell="1" allowOverlap="1" wp14:anchorId="3EB72418" wp14:editId="2070030F">
          <wp:simplePos x="0" y="0"/>
          <wp:positionH relativeFrom="page">
            <wp:align>left</wp:align>
          </wp:positionH>
          <wp:positionV relativeFrom="paragraph">
            <wp:posOffset>-643255</wp:posOffset>
          </wp:positionV>
          <wp:extent cx="7550509" cy="1295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87871"/>
                  <a:stretch/>
                </pic:blipFill>
                <pic:spPr bwMode="auto">
                  <a:xfrm>
                    <a:off x="0" y="0"/>
                    <a:ext cx="7550509"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99BFD0" w14:paraId="0BA38E1B" w14:textId="77777777" w:rsidTr="5D99BFD0">
      <w:trPr>
        <w:trHeight w:val="300"/>
      </w:trPr>
      <w:tc>
        <w:tcPr>
          <w:tcW w:w="3120" w:type="dxa"/>
        </w:tcPr>
        <w:p w14:paraId="5DD13E27" w14:textId="0DD9E0B8" w:rsidR="5D99BFD0" w:rsidRDefault="5D99BFD0" w:rsidP="5D99BFD0">
          <w:pPr>
            <w:pStyle w:val="Header"/>
            <w:ind w:left="-115"/>
          </w:pPr>
        </w:p>
      </w:tc>
      <w:tc>
        <w:tcPr>
          <w:tcW w:w="3120" w:type="dxa"/>
        </w:tcPr>
        <w:p w14:paraId="4396E12C" w14:textId="2D318E6E" w:rsidR="5D99BFD0" w:rsidRDefault="5D99BFD0" w:rsidP="5D99BFD0">
          <w:pPr>
            <w:pStyle w:val="Header"/>
            <w:jc w:val="center"/>
          </w:pPr>
        </w:p>
      </w:tc>
      <w:tc>
        <w:tcPr>
          <w:tcW w:w="3120" w:type="dxa"/>
        </w:tcPr>
        <w:p w14:paraId="32406781" w14:textId="51AF4779" w:rsidR="5D99BFD0" w:rsidRDefault="5D99BFD0" w:rsidP="5D99BFD0">
          <w:pPr>
            <w:pStyle w:val="Header"/>
            <w:ind w:right="-115"/>
            <w:jc w:val="right"/>
          </w:pPr>
        </w:p>
      </w:tc>
    </w:tr>
  </w:tbl>
  <w:p w14:paraId="3CB5B9E8" w14:textId="6791BF84" w:rsidR="00584F85" w:rsidRDefault="0058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16C1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245D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C74B50"/>
    <w:multiLevelType w:val="hybridMultilevel"/>
    <w:tmpl w:val="6338ED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BC553F"/>
    <w:multiLevelType w:val="hybridMultilevel"/>
    <w:tmpl w:val="3E56D1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3A4ED6"/>
    <w:multiLevelType w:val="hybridMultilevel"/>
    <w:tmpl w:val="D1B6C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FB50E4"/>
    <w:multiLevelType w:val="hybridMultilevel"/>
    <w:tmpl w:val="741AA7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A3041B"/>
    <w:multiLevelType w:val="hybridMultilevel"/>
    <w:tmpl w:val="7F3A4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305337"/>
    <w:multiLevelType w:val="hybridMultilevel"/>
    <w:tmpl w:val="88827C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7DF5DB"/>
    <w:multiLevelType w:val="hybridMultilevel"/>
    <w:tmpl w:val="064AAE2C"/>
    <w:lvl w:ilvl="0" w:tplc="6A16284E">
      <w:start w:val="1"/>
      <w:numFmt w:val="decimal"/>
      <w:lvlText w:val="%1."/>
      <w:lvlJc w:val="left"/>
      <w:pPr>
        <w:ind w:left="720" w:hanging="360"/>
      </w:pPr>
    </w:lvl>
    <w:lvl w:ilvl="1" w:tplc="84EE3D8C">
      <w:start w:val="1"/>
      <w:numFmt w:val="lowerLetter"/>
      <w:lvlText w:val="%2."/>
      <w:lvlJc w:val="left"/>
      <w:pPr>
        <w:ind w:left="1440" w:hanging="360"/>
      </w:pPr>
    </w:lvl>
    <w:lvl w:ilvl="2" w:tplc="A59253DA">
      <w:start w:val="1"/>
      <w:numFmt w:val="lowerRoman"/>
      <w:lvlText w:val="%3."/>
      <w:lvlJc w:val="right"/>
      <w:pPr>
        <w:ind w:left="2160" w:hanging="180"/>
      </w:pPr>
    </w:lvl>
    <w:lvl w:ilvl="3" w:tplc="234CA7C4">
      <w:start w:val="1"/>
      <w:numFmt w:val="decimal"/>
      <w:lvlText w:val="%4."/>
      <w:lvlJc w:val="left"/>
      <w:pPr>
        <w:ind w:left="2880" w:hanging="360"/>
      </w:pPr>
    </w:lvl>
    <w:lvl w:ilvl="4" w:tplc="8C3AF432">
      <w:start w:val="1"/>
      <w:numFmt w:val="lowerLetter"/>
      <w:lvlText w:val="%5."/>
      <w:lvlJc w:val="left"/>
      <w:pPr>
        <w:ind w:left="3600" w:hanging="360"/>
      </w:pPr>
    </w:lvl>
    <w:lvl w:ilvl="5" w:tplc="C4A0A1F2">
      <w:start w:val="1"/>
      <w:numFmt w:val="lowerRoman"/>
      <w:lvlText w:val="%6."/>
      <w:lvlJc w:val="right"/>
      <w:pPr>
        <w:ind w:left="4320" w:hanging="180"/>
      </w:pPr>
    </w:lvl>
    <w:lvl w:ilvl="6" w:tplc="6D7EDDB8">
      <w:start w:val="1"/>
      <w:numFmt w:val="decimal"/>
      <w:lvlText w:val="%7."/>
      <w:lvlJc w:val="left"/>
      <w:pPr>
        <w:ind w:left="5040" w:hanging="360"/>
      </w:pPr>
    </w:lvl>
    <w:lvl w:ilvl="7" w:tplc="85CAF632">
      <w:start w:val="1"/>
      <w:numFmt w:val="lowerLetter"/>
      <w:lvlText w:val="%8."/>
      <w:lvlJc w:val="left"/>
      <w:pPr>
        <w:ind w:left="5760" w:hanging="360"/>
      </w:pPr>
    </w:lvl>
    <w:lvl w:ilvl="8" w:tplc="5E488B0A">
      <w:start w:val="1"/>
      <w:numFmt w:val="lowerRoman"/>
      <w:lvlText w:val="%9."/>
      <w:lvlJc w:val="right"/>
      <w:pPr>
        <w:ind w:left="6480" w:hanging="180"/>
      </w:pPr>
    </w:lvl>
  </w:abstractNum>
  <w:abstractNum w:abstractNumId="9" w15:restartNumberingAfterBreak="0">
    <w:nsid w:val="2EA70752"/>
    <w:multiLevelType w:val="hybridMultilevel"/>
    <w:tmpl w:val="086217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4B6125"/>
    <w:multiLevelType w:val="hybridMultilevel"/>
    <w:tmpl w:val="3A60E2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95753D"/>
    <w:multiLevelType w:val="hybridMultilevel"/>
    <w:tmpl w:val="D55CA1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564EA4"/>
    <w:multiLevelType w:val="hybridMultilevel"/>
    <w:tmpl w:val="77CEB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D22729"/>
    <w:multiLevelType w:val="hybridMultilevel"/>
    <w:tmpl w:val="2DB612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9D2C87"/>
    <w:multiLevelType w:val="hybridMultilevel"/>
    <w:tmpl w:val="E6CA60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ED33E87"/>
    <w:multiLevelType w:val="hybridMultilevel"/>
    <w:tmpl w:val="FB3278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490846"/>
    <w:multiLevelType w:val="hybridMultilevel"/>
    <w:tmpl w:val="5074E2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E37699"/>
    <w:multiLevelType w:val="hybridMultilevel"/>
    <w:tmpl w:val="4C98E1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DE2AE5"/>
    <w:multiLevelType w:val="hybridMultilevel"/>
    <w:tmpl w:val="846822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3A2979"/>
    <w:multiLevelType w:val="hybridMultilevel"/>
    <w:tmpl w:val="404AA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D31CD7"/>
    <w:multiLevelType w:val="hybridMultilevel"/>
    <w:tmpl w:val="22BCE7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352EF9"/>
    <w:multiLevelType w:val="hybridMultilevel"/>
    <w:tmpl w:val="39C82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9754FE"/>
    <w:multiLevelType w:val="hybridMultilevel"/>
    <w:tmpl w:val="DD9655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02501C"/>
    <w:multiLevelType w:val="hybridMultilevel"/>
    <w:tmpl w:val="239A23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9F4AB1"/>
    <w:multiLevelType w:val="hybridMultilevel"/>
    <w:tmpl w:val="24D455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DC97EAE"/>
    <w:multiLevelType w:val="hybridMultilevel"/>
    <w:tmpl w:val="5126A7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8C1382"/>
    <w:multiLevelType w:val="hybridMultilevel"/>
    <w:tmpl w:val="160042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4BF0F98"/>
    <w:multiLevelType w:val="hybridMultilevel"/>
    <w:tmpl w:val="5074E2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580728"/>
    <w:multiLevelType w:val="hybridMultilevel"/>
    <w:tmpl w:val="68141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E3299D"/>
    <w:multiLevelType w:val="hybridMultilevel"/>
    <w:tmpl w:val="AD5C2D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3082813">
    <w:abstractNumId w:val="1"/>
  </w:num>
  <w:num w:numId="2" w16cid:durableId="672995730">
    <w:abstractNumId w:val="0"/>
  </w:num>
  <w:num w:numId="3" w16cid:durableId="94058417">
    <w:abstractNumId w:val="25"/>
  </w:num>
  <w:num w:numId="4" w16cid:durableId="940337813">
    <w:abstractNumId w:val="3"/>
  </w:num>
  <w:num w:numId="5" w16cid:durableId="387579951">
    <w:abstractNumId w:val="26"/>
  </w:num>
  <w:num w:numId="6" w16cid:durableId="880749160">
    <w:abstractNumId w:val="21"/>
  </w:num>
  <w:num w:numId="7" w16cid:durableId="561916317">
    <w:abstractNumId w:val="11"/>
  </w:num>
  <w:num w:numId="8" w16cid:durableId="970742584">
    <w:abstractNumId w:val="17"/>
  </w:num>
  <w:num w:numId="9" w16cid:durableId="810903757">
    <w:abstractNumId w:val="15"/>
  </w:num>
  <w:num w:numId="10" w16cid:durableId="1144930583">
    <w:abstractNumId w:val="22"/>
  </w:num>
  <w:num w:numId="11" w16cid:durableId="1473870377">
    <w:abstractNumId w:val="13"/>
  </w:num>
  <w:num w:numId="12" w16cid:durableId="1033000220">
    <w:abstractNumId w:val="2"/>
  </w:num>
  <w:num w:numId="13" w16cid:durableId="1523399940">
    <w:abstractNumId w:val="24"/>
  </w:num>
  <w:num w:numId="14" w16cid:durableId="182324851">
    <w:abstractNumId w:val="4"/>
  </w:num>
  <w:num w:numId="15" w16cid:durableId="277220728">
    <w:abstractNumId w:val="20"/>
  </w:num>
  <w:num w:numId="16" w16cid:durableId="1641571649">
    <w:abstractNumId w:val="6"/>
  </w:num>
  <w:num w:numId="17" w16cid:durableId="1110080913">
    <w:abstractNumId w:val="19"/>
  </w:num>
  <w:num w:numId="18" w16cid:durableId="2098208198">
    <w:abstractNumId w:val="10"/>
  </w:num>
  <w:num w:numId="19" w16cid:durableId="1804543529">
    <w:abstractNumId w:val="23"/>
  </w:num>
  <w:num w:numId="20" w16cid:durableId="741872359">
    <w:abstractNumId w:val="29"/>
  </w:num>
  <w:num w:numId="21" w16cid:durableId="1825928409">
    <w:abstractNumId w:val="14"/>
  </w:num>
  <w:num w:numId="22" w16cid:durableId="22755793">
    <w:abstractNumId w:val="28"/>
  </w:num>
  <w:num w:numId="23" w16cid:durableId="223377654">
    <w:abstractNumId w:val="8"/>
  </w:num>
  <w:num w:numId="24" w16cid:durableId="420225983">
    <w:abstractNumId w:val="16"/>
  </w:num>
  <w:num w:numId="25" w16cid:durableId="2137064497">
    <w:abstractNumId w:val="27"/>
  </w:num>
  <w:num w:numId="26" w16cid:durableId="1915699076">
    <w:abstractNumId w:val="5"/>
  </w:num>
  <w:num w:numId="27" w16cid:durableId="2054958175">
    <w:abstractNumId w:val="7"/>
  </w:num>
  <w:num w:numId="28" w16cid:durableId="1213083216">
    <w:abstractNumId w:val="18"/>
  </w:num>
  <w:num w:numId="29" w16cid:durableId="310140562">
    <w:abstractNumId w:val="12"/>
  </w:num>
  <w:num w:numId="30" w16cid:durableId="331644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249A98"/>
    <w:rsid w:val="00014E55"/>
    <w:rsid w:val="00015989"/>
    <w:rsid w:val="00017759"/>
    <w:rsid w:val="00022F9A"/>
    <w:rsid w:val="00025BBD"/>
    <w:rsid w:val="00026F57"/>
    <w:rsid w:val="000307A8"/>
    <w:rsid w:val="000328BF"/>
    <w:rsid w:val="00034266"/>
    <w:rsid w:val="0003560F"/>
    <w:rsid w:val="00037861"/>
    <w:rsid w:val="0004036C"/>
    <w:rsid w:val="000429AB"/>
    <w:rsid w:val="000443EE"/>
    <w:rsid w:val="00044852"/>
    <w:rsid w:val="0004502D"/>
    <w:rsid w:val="00046C7C"/>
    <w:rsid w:val="0004738D"/>
    <w:rsid w:val="000502DB"/>
    <w:rsid w:val="000529CA"/>
    <w:rsid w:val="00056358"/>
    <w:rsid w:val="00057030"/>
    <w:rsid w:val="00065269"/>
    <w:rsid w:val="0006720A"/>
    <w:rsid w:val="00080560"/>
    <w:rsid w:val="00081AD6"/>
    <w:rsid w:val="00084462"/>
    <w:rsid w:val="00084BA2"/>
    <w:rsid w:val="000901E7"/>
    <w:rsid w:val="000978D1"/>
    <w:rsid w:val="000A7BF5"/>
    <w:rsid w:val="000B7B47"/>
    <w:rsid w:val="000C62C9"/>
    <w:rsid w:val="000C633F"/>
    <w:rsid w:val="000C658B"/>
    <w:rsid w:val="000C6D93"/>
    <w:rsid w:val="000D1742"/>
    <w:rsid w:val="000D4F67"/>
    <w:rsid w:val="000E0E5A"/>
    <w:rsid w:val="000E266A"/>
    <w:rsid w:val="000E2FA2"/>
    <w:rsid w:val="000E4DF8"/>
    <w:rsid w:val="000F040B"/>
    <w:rsid w:val="000F1012"/>
    <w:rsid w:val="000F1447"/>
    <w:rsid w:val="000F3530"/>
    <w:rsid w:val="00102286"/>
    <w:rsid w:val="00111A7C"/>
    <w:rsid w:val="00116148"/>
    <w:rsid w:val="001172FD"/>
    <w:rsid w:val="0012081F"/>
    <w:rsid w:val="00135157"/>
    <w:rsid w:val="00137FB9"/>
    <w:rsid w:val="00143758"/>
    <w:rsid w:val="00151704"/>
    <w:rsid w:val="00154A24"/>
    <w:rsid w:val="001611DE"/>
    <w:rsid w:val="0016501B"/>
    <w:rsid w:val="00166286"/>
    <w:rsid w:val="0016779C"/>
    <w:rsid w:val="001705BA"/>
    <w:rsid w:val="00173AF4"/>
    <w:rsid w:val="00175D33"/>
    <w:rsid w:val="00177E3C"/>
    <w:rsid w:val="0018104B"/>
    <w:rsid w:val="00182286"/>
    <w:rsid w:val="00186CE6"/>
    <w:rsid w:val="001A0768"/>
    <w:rsid w:val="001B169D"/>
    <w:rsid w:val="001B586F"/>
    <w:rsid w:val="001B72BE"/>
    <w:rsid w:val="001C3E89"/>
    <w:rsid w:val="001D07CE"/>
    <w:rsid w:val="001D14A9"/>
    <w:rsid w:val="001D5DF9"/>
    <w:rsid w:val="001E2C13"/>
    <w:rsid w:val="001E7801"/>
    <w:rsid w:val="001F1C8E"/>
    <w:rsid w:val="001F574A"/>
    <w:rsid w:val="0020195D"/>
    <w:rsid w:val="00203EC5"/>
    <w:rsid w:val="002055AE"/>
    <w:rsid w:val="00210091"/>
    <w:rsid w:val="00212148"/>
    <w:rsid w:val="00215B3F"/>
    <w:rsid w:val="002166BB"/>
    <w:rsid w:val="00231689"/>
    <w:rsid w:val="00231CE2"/>
    <w:rsid w:val="00232ED6"/>
    <w:rsid w:val="0023384A"/>
    <w:rsid w:val="00234123"/>
    <w:rsid w:val="00235D7F"/>
    <w:rsid w:val="00235FA6"/>
    <w:rsid w:val="0023783D"/>
    <w:rsid w:val="00246131"/>
    <w:rsid w:val="00251E41"/>
    <w:rsid w:val="002612D4"/>
    <w:rsid w:val="00261A3F"/>
    <w:rsid w:val="002669E3"/>
    <w:rsid w:val="00270162"/>
    <w:rsid w:val="00271FA0"/>
    <w:rsid w:val="002767AD"/>
    <w:rsid w:val="002779A2"/>
    <w:rsid w:val="002812DA"/>
    <w:rsid w:val="00281F77"/>
    <w:rsid w:val="00283163"/>
    <w:rsid w:val="00283E81"/>
    <w:rsid w:val="002856FD"/>
    <w:rsid w:val="00287103"/>
    <w:rsid w:val="002902ED"/>
    <w:rsid w:val="00290F48"/>
    <w:rsid w:val="00295564"/>
    <w:rsid w:val="002970AE"/>
    <w:rsid w:val="00297132"/>
    <w:rsid w:val="002A63AB"/>
    <w:rsid w:val="002B36F1"/>
    <w:rsid w:val="002B3D5C"/>
    <w:rsid w:val="002B6DA7"/>
    <w:rsid w:val="002C54AB"/>
    <w:rsid w:val="002C6F91"/>
    <w:rsid w:val="002D035A"/>
    <w:rsid w:val="002D0ACB"/>
    <w:rsid w:val="002D50CE"/>
    <w:rsid w:val="002D7CC0"/>
    <w:rsid w:val="002E28F3"/>
    <w:rsid w:val="002E3694"/>
    <w:rsid w:val="002E658D"/>
    <w:rsid w:val="002E73BF"/>
    <w:rsid w:val="002F235E"/>
    <w:rsid w:val="002F2CE3"/>
    <w:rsid w:val="002F4000"/>
    <w:rsid w:val="002F5AAD"/>
    <w:rsid w:val="002F701D"/>
    <w:rsid w:val="00300EB6"/>
    <w:rsid w:val="003017A6"/>
    <w:rsid w:val="00301BEC"/>
    <w:rsid w:val="003036D8"/>
    <w:rsid w:val="003048AA"/>
    <w:rsid w:val="00306B53"/>
    <w:rsid w:val="00311B41"/>
    <w:rsid w:val="00317C70"/>
    <w:rsid w:val="00320541"/>
    <w:rsid w:val="00323752"/>
    <w:rsid w:val="00326F6B"/>
    <w:rsid w:val="00331A80"/>
    <w:rsid w:val="003349E1"/>
    <w:rsid w:val="003355B7"/>
    <w:rsid w:val="0033599B"/>
    <w:rsid w:val="00340B6B"/>
    <w:rsid w:val="00342A6F"/>
    <w:rsid w:val="003449E4"/>
    <w:rsid w:val="00345843"/>
    <w:rsid w:val="00347E77"/>
    <w:rsid w:val="0035028F"/>
    <w:rsid w:val="00350498"/>
    <w:rsid w:val="003512CA"/>
    <w:rsid w:val="00351A40"/>
    <w:rsid w:val="00362B8B"/>
    <w:rsid w:val="00367370"/>
    <w:rsid w:val="003710BE"/>
    <w:rsid w:val="0037468F"/>
    <w:rsid w:val="003755EC"/>
    <w:rsid w:val="00375BBF"/>
    <w:rsid w:val="003762C0"/>
    <w:rsid w:val="003801BD"/>
    <w:rsid w:val="00385029"/>
    <w:rsid w:val="00390125"/>
    <w:rsid w:val="003921B9"/>
    <w:rsid w:val="003946C4"/>
    <w:rsid w:val="0039620C"/>
    <w:rsid w:val="003A26CA"/>
    <w:rsid w:val="003B5174"/>
    <w:rsid w:val="003B5B48"/>
    <w:rsid w:val="003B5FF0"/>
    <w:rsid w:val="003B6CA2"/>
    <w:rsid w:val="003B7EAA"/>
    <w:rsid w:val="003C11BF"/>
    <w:rsid w:val="003D0AFE"/>
    <w:rsid w:val="003D354F"/>
    <w:rsid w:val="003D660C"/>
    <w:rsid w:val="003E589D"/>
    <w:rsid w:val="003E5E98"/>
    <w:rsid w:val="003E6800"/>
    <w:rsid w:val="003E791D"/>
    <w:rsid w:val="003F0334"/>
    <w:rsid w:val="003F5380"/>
    <w:rsid w:val="003F53CC"/>
    <w:rsid w:val="003F6B39"/>
    <w:rsid w:val="0041115A"/>
    <w:rsid w:val="0041673B"/>
    <w:rsid w:val="00417396"/>
    <w:rsid w:val="004261A0"/>
    <w:rsid w:val="0042687C"/>
    <w:rsid w:val="00431752"/>
    <w:rsid w:val="00433D50"/>
    <w:rsid w:val="00436F24"/>
    <w:rsid w:val="00442540"/>
    <w:rsid w:val="00445AEA"/>
    <w:rsid w:val="0044611D"/>
    <w:rsid w:val="0044787A"/>
    <w:rsid w:val="00455998"/>
    <w:rsid w:val="004620BD"/>
    <w:rsid w:val="00466C95"/>
    <w:rsid w:val="0047635E"/>
    <w:rsid w:val="0048170E"/>
    <w:rsid w:val="004914B2"/>
    <w:rsid w:val="00491546"/>
    <w:rsid w:val="0049164B"/>
    <w:rsid w:val="004918CB"/>
    <w:rsid w:val="004939FA"/>
    <w:rsid w:val="00494EC2"/>
    <w:rsid w:val="004978CD"/>
    <w:rsid w:val="004C227A"/>
    <w:rsid w:val="004C31B4"/>
    <w:rsid w:val="004C4E8F"/>
    <w:rsid w:val="004C6F7E"/>
    <w:rsid w:val="004C73F9"/>
    <w:rsid w:val="004D0DB3"/>
    <w:rsid w:val="004D7589"/>
    <w:rsid w:val="004E3A7B"/>
    <w:rsid w:val="004E4168"/>
    <w:rsid w:val="004E5FB1"/>
    <w:rsid w:val="004E6105"/>
    <w:rsid w:val="004F2E6C"/>
    <w:rsid w:val="004F7D1E"/>
    <w:rsid w:val="00506544"/>
    <w:rsid w:val="005076A4"/>
    <w:rsid w:val="005110CD"/>
    <w:rsid w:val="00512954"/>
    <w:rsid w:val="005130B3"/>
    <w:rsid w:val="00513B80"/>
    <w:rsid w:val="00513FEE"/>
    <w:rsid w:val="00517E9C"/>
    <w:rsid w:val="0052045E"/>
    <w:rsid w:val="005208C4"/>
    <w:rsid w:val="00521F45"/>
    <w:rsid w:val="00523CCA"/>
    <w:rsid w:val="00524726"/>
    <w:rsid w:val="00524C79"/>
    <w:rsid w:val="0052637D"/>
    <w:rsid w:val="00526E9D"/>
    <w:rsid w:val="005320E1"/>
    <w:rsid w:val="00532950"/>
    <w:rsid w:val="00534D72"/>
    <w:rsid w:val="00535671"/>
    <w:rsid w:val="00541015"/>
    <w:rsid w:val="00541D7B"/>
    <w:rsid w:val="005429A1"/>
    <w:rsid w:val="00542A3F"/>
    <w:rsid w:val="005470C2"/>
    <w:rsid w:val="00554EAE"/>
    <w:rsid w:val="00556A15"/>
    <w:rsid w:val="0056291B"/>
    <w:rsid w:val="00566CA8"/>
    <w:rsid w:val="00570C20"/>
    <w:rsid w:val="005750DA"/>
    <w:rsid w:val="00575B41"/>
    <w:rsid w:val="00581AE0"/>
    <w:rsid w:val="0058367C"/>
    <w:rsid w:val="00584F85"/>
    <w:rsid w:val="00591DAC"/>
    <w:rsid w:val="005B264E"/>
    <w:rsid w:val="005C2599"/>
    <w:rsid w:val="005C5089"/>
    <w:rsid w:val="005C6E33"/>
    <w:rsid w:val="005C784B"/>
    <w:rsid w:val="005D0596"/>
    <w:rsid w:val="005D74A9"/>
    <w:rsid w:val="005E0DAB"/>
    <w:rsid w:val="005E15CE"/>
    <w:rsid w:val="005E1F2F"/>
    <w:rsid w:val="005F55AF"/>
    <w:rsid w:val="005F647B"/>
    <w:rsid w:val="006011FA"/>
    <w:rsid w:val="00601784"/>
    <w:rsid w:val="006019D2"/>
    <w:rsid w:val="00606C6B"/>
    <w:rsid w:val="00607C19"/>
    <w:rsid w:val="00611CC8"/>
    <w:rsid w:val="00621816"/>
    <w:rsid w:val="00623F04"/>
    <w:rsid w:val="00625880"/>
    <w:rsid w:val="00626BFD"/>
    <w:rsid w:val="00633FEF"/>
    <w:rsid w:val="006414F2"/>
    <w:rsid w:val="00641E9E"/>
    <w:rsid w:val="00642B9F"/>
    <w:rsid w:val="0065187E"/>
    <w:rsid w:val="0065255D"/>
    <w:rsid w:val="006529B5"/>
    <w:rsid w:val="00654C2A"/>
    <w:rsid w:val="00657C02"/>
    <w:rsid w:val="0066089F"/>
    <w:rsid w:val="006644F9"/>
    <w:rsid w:val="006653BC"/>
    <w:rsid w:val="006809B8"/>
    <w:rsid w:val="006955FC"/>
    <w:rsid w:val="00695C89"/>
    <w:rsid w:val="006964EA"/>
    <w:rsid w:val="006A0719"/>
    <w:rsid w:val="006A1E1B"/>
    <w:rsid w:val="006A3372"/>
    <w:rsid w:val="006A3626"/>
    <w:rsid w:val="006A3B93"/>
    <w:rsid w:val="006A7D22"/>
    <w:rsid w:val="006B2EBE"/>
    <w:rsid w:val="006B384F"/>
    <w:rsid w:val="006B3903"/>
    <w:rsid w:val="006B64A9"/>
    <w:rsid w:val="006B7E4D"/>
    <w:rsid w:val="006C2020"/>
    <w:rsid w:val="006D1986"/>
    <w:rsid w:val="006D41D6"/>
    <w:rsid w:val="006D6936"/>
    <w:rsid w:val="006E2923"/>
    <w:rsid w:val="006E40F8"/>
    <w:rsid w:val="006E7011"/>
    <w:rsid w:val="006F07B1"/>
    <w:rsid w:val="006F5F8D"/>
    <w:rsid w:val="006F7BB7"/>
    <w:rsid w:val="00702322"/>
    <w:rsid w:val="00702C58"/>
    <w:rsid w:val="007105AE"/>
    <w:rsid w:val="00711546"/>
    <w:rsid w:val="00716539"/>
    <w:rsid w:val="0072070F"/>
    <w:rsid w:val="00724CDA"/>
    <w:rsid w:val="007362E4"/>
    <w:rsid w:val="0073770D"/>
    <w:rsid w:val="0074010A"/>
    <w:rsid w:val="00750E4C"/>
    <w:rsid w:val="0075130F"/>
    <w:rsid w:val="00761BB2"/>
    <w:rsid w:val="00765D58"/>
    <w:rsid w:val="00767CDB"/>
    <w:rsid w:val="0077335B"/>
    <w:rsid w:val="00776839"/>
    <w:rsid w:val="00777433"/>
    <w:rsid w:val="00781538"/>
    <w:rsid w:val="00783DBC"/>
    <w:rsid w:val="007862A8"/>
    <w:rsid w:val="00786F40"/>
    <w:rsid w:val="00787F83"/>
    <w:rsid w:val="0079057E"/>
    <w:rsid w:val="00790912"/>
    <w:rsid w:val="00795F6E"/>
    <w:rsid w:val="007A2E5C"/>
    <w:rsid w:val="007A377B"/>
    <w:rsid w:val="007A7F8E"/>
    <w:rsid w:val="007B0E07"/>
    <w:rsid w:val="007B1C74"/>
    <w:rsid w:val="007B2016"/>
    <w:rsid w:val="007B4DAC"/>
    <w:rsid w:val="007C0E77"/>
    <w:rsid w:val="007C777D"/>
    <w:rsid w:val="007D29D9"/>
    <w:rsid w:val="007D3B5C"/>
    <w:rsid w:val="007D557C"/>
    <w:rsid w:val="007E2257"/>
    <w:rsid w:val="007E3D74"/>
    <w:rsid w:val="007F0E96"/>
    <w:rsid w:val="007F4C34"/>
    <w:rsid w:val="007F6382"/>
    <w:rsid w:val="008029CA"/>
    <w:rsid w:val="00805204"/>
    <w:rsid w:val="00810C36"/>
    <w:rsid w:val="00811E66"/>
    <w:rsid w:val="00814402"/>
    <w:rsid w:val="0081524A"/>
    <w:rsid w:val="00825250"/>
    <w:rsid w:val="008275FC"/>
    <w:rsid w:val="00827FC6"/>
    <w:rsid w:val="00830D91"/>
    <w:rsid w:val="00832BF3"/>
    <w:rsid w:val="00842028"/>
    <w:rsid w:val="00843AF5"/>
    <w:rsid w:val="008509E8"/>
    <w:rsid w:val="00854DEB"/>
    <w:rsid w:val="00857357"/>
    <w:rsid w:val="00861C9A"/>
    <w:rsid w:val="008622D5"/>
    <w:rsid w:val="00871A84"/>
    <w:rsid w:val="00874AE6"/>
    <w:rsid w:val="00874D0D"/>
    <w:rsid w:val="00874E60"/>
    <w:rsid w:val="00875712"/>
    <w:rsid w:val="00877F97"/>
    <w:rsid w:val="0088286E"/>
    <w:rsid w:val="008830D0"/>
    <w:rsid w:val="0088396E"/>
    <w:rsid w:val="008851BC"/>
    <w:rsid w:val="008863E8"/>
    <w:rsid w:val="00887C2B"/>
    <w:rsid w:val="0089175B"/>
    <w:rsid w:val="00893533"/>
    <w:rsid w:val="00894FBC"/>
    <w:rsid w:val="008A190D"/>
    <w:rsid w:val="008B56A5"/>
    <w:rsid w:val="008C7B74"/>
    <w:rsid w:val="008D4518"/>
    <w:rsid w:val="008D7EFC"/>
    <w:rsid w:val="008E20D6"/>
    <w:rsid w:val="008E7EE8"/>
    <w:rsid w:val="008F26CC"/>
    <w:rsid w:val="008F5826"/>
    <w:rsid w:val="008F68AB"/>
    <w:rsid w:val="008F76A3"/>
    <w:rsid w:val="00902568"/>
    <w:rsid w:val="00910048"/>
    <w:rsid w:val="0091320E"/>
    <w:rsid w:val="00913DC4"/>
    <w:rsid w:val="0092195A"/>
    <w:rsid w:val="00922C0B"/>
    <w:rsid w:val="009343E3"/>
    <w:rsid w:val="009347DA"/>
    <w:rsid w:val="00940D20"/>
    <w:rsid w:val="0094113B"/>
    <w:rsid w:val="009479A9"/>
    <w:rsid w:val="00952858"/>
    <w:rsid w:val="00952886"/>
    <w:rsid w:val="00953614"/>
    <w:rsid w:val="009564BB"/>
    <w:rsid w:val="00957D52"/>
    <w:rsid w:val="00961B06"/>
    <w:rsid w:val="009625C6"/>
    <w:rsid w:val="00964001"/>
    <w:rsid w:val="00970664"/>
    <w:rsid w:val="00970976"/>
    <w:rsid w:val="00970DC9"/>
    <w:rsid w:val="00972FB7"/>
    <w:rsid w:val="00975A36"/>
    <w:rsid w:val="00976D6D"/>
    <w:rsid w:val="00983615"/>
    <w:rsid w:val="009966E6"/>
    <w:rsid w:val="009A0EBE"/>
    <w:rsid w:val="009A1A7A"/>
    <w:rsid w:val="009A324C"/>
    <w:rsid w:val="009C3079"/>
    <w:rsid w:val="009C4110"/>
    <w:rsid w:val="009C7ADE"/>
    <w:rsid w:val="009D1A69"/>
    <w:rsid w:val="009D254C"/>
    <w:rsid w:val="009E0088"/>
    <w:rsid w:val="009E333E"/>
    <w:rsid w:val="009E5340"/>
    <w:rsid w:val="009E5D75"/>
    <w:rsid w:val="009E5EA5"/>
    <w:rsid w:val="00A013BD"/>
    <w:rsid w:val="00A01D11"/>
    <w:rsid w:val="00A03B0E"/>
    <w:rsid w:val="00A04113"/>
    <w:rsid w:val="00A075E0"/>
    <w:rsid w:val="00A11C49"/>
    <w:rsid w:val="00A13AD7"/>
    <w:rsid w:val="00A14208"/>
    <w:rsid w:val="00A20ED6"/>
    <w:rsid w:val="00A21141"/>
    <w:rsid w:val="00A33899"/>
    <w:rsid w:val="00A3515F"/>
    <w:rsid w:val="00A36153"/>
    <w:rsid w:val="00A41101"/>
    <w:rsid w:val="00A45C34"/>
    <w:rsid w:val="00A55534"/>
    <w:rsid w:val="00A60CF8"/>
    <w:rsid w:val="00A6448C"/>
    <w:rsid w:val="00A65486"/>
    <w:rsid w:val="00A706EE"/>
    <w:rsid w:val="00A71772"/>
    <w:rsid w:val="00A72180"/>
    <w:rsid w:val="00A72FFA"/>
    <w:rsid w:val="00A7373F"/>
    <w:rsid w:val="00A775E2"/>
    <w:rsid w:val="00A80DE7"/>
    <w:rsid w:val="00A875C8"/>
    <w:rsid w:val="00A90F09"/>
    <w:rsid w:val="00A952E2"/>
    <w:rsid w:val="00AA1B4E"/>
    <w:rsid w:val="00AB4726"/>
    <w:rsid w:val="00AC1497"/>
    <w:rsid w:val="00AC3786"/>
    <w:rsid w:val="00AD0516"/>
    <w:rsid w:val="00AD05D2"/>
    <w:rsid w:val="00AD2A6B"/>
    <w:rsid w:val="00AE0805"/>
    <w:rsid w:val="00AE7642"/>
    <w:rsid w:val="00B038B0"/>
    <w:rsid w:val="00B20289"/>
    <w:rsid w:val="00B27FB6"/>
    <w:rsid w:val="00B303D7"/>
    <w:rsid w:val="00B309D2"/>
    <w:rsid w:val="00B30E98"/>
    <w:rsid w:val="00B30EDC"/>
    <w:rsid w:val="00B3686B"/>
    <w:rsid w:val="00B46252"/>
    <w:rsid w:val="00B5111F"/>
    <w:rsid w:val="00B5158D"/>
    <w:rsid w:val="00B54D6E"/>
    <w:rsid w:val="00B57DE2"/>
    <w:rsid w:val="00B653A4"/>
    <w:rsid w:val="00B71B0D"/>
    <w:rsid w:val="00B73DCE"/>
    <w:rsid w:val="00B74344"/>
    <w:rsid w:val="00B77422"/>
    <w:rsid w:val="00B77ACB"/>
    <w:rsid w:val="00B808EC"/>
    <w:rsid w:val="00B815E7"/>
    <w:rsid w:val="00B81E4B"/>
    <w:rsid w:val="00B8396B"/>
    <w:rsid w:val="00B85276"/>
    <w:rsid w:val="00B86CAC"/>
    <w:rsid w:val="00B90557"/>
    <w:rsid w:val="00B95AE8"/>
    <w:rsid w:val="00BA02CB"/>
    <w:rsid w:val="00BA357F"/>
    <w:rsid w:val="00BB0264"/>
    <w:rsid w:val="00BB3D2E"/>
    <w:rsid w:val="00BB4A0C"/>
    <w:rsid w:val="00BC0689"/>
    <w:rsid w:val="00BC5A57"/>
    <w:rsid w:val="00BC73B6"/>
    <w:rsid w:val="00BD0441"/>
    <w:rsid w:val="00BD19DB"/>
    <w:rsid w:val="00BD3013"/>
    <w:rsid w:val="00BD4C87"/>
    <w:rsid w:val="00BD54D3"/>
    <w:rsid w:val="00BD6929"/>
    <w:rsid w:val="00BE023D"/>
    <w:rsid w:val="00BE56F4"/>
    <w:rsid w:val="00BF1921"/>
    <w:rsid w:val="00C01829"/>
    <w:rsid w:val="00C0463F"/>
    <w:rsid w:val="00C216B5"/>
    <w:rsid w:val="00C2243F"/>
    <w:rsid w:val="00C2308E"/>
    <w:rsid w:val="00C26FB0"/>
    <w:rsid w:val="00C27864"/>
    <w:rsid w:val="00C27AA4"/>
    <w:rsid w:val="00C27AEC"/>
    <w:rsid w:val="00C312F0"/>
    <w:rsid w:val="00C32033"/>
    <w:rsid w:val="00C332DB"/>
    <w:rsid w:val="00C341C3"/>
    <w:rsid w:val="00C35D4A"/>
    <w:rsid w:val="00C44431"/>
    <w:rsid w:val="00C4484A"/>
    <w:rsid w:val="00C46C5F"/>
    <w:rsid w:val="00C4731E"/>
    <w:rsid w:val="00C57370"/>
    <w:rsid w:val="00C60734"/>
    <w:rsid w:val="00C60CA8"/>
    <w:rsid w:val="00C63799"/>
    <w:rsid w:val="00C716DB"/>
    <w:rsid w:val="00C72988"/>
    <w:rsid w:val="00C7534D"/>
    <w:rsid w:val="00C76A03"/>
    <w:rsid w:val="00C76CCD"/>
    <w:rsid w:val="00C83684"/>
    <w:rsid w:val="00C92836"/>
    <w:rsid w:val="00C95EA9"/>
    <w:rsid w:val="00C960BF"/>
    <w:rsid w:val="00CA0A43"/>
    <w:rsid w:val="00CA19AF"/>
    <w:rsid w:val="00CA2381"/>
    <w:rsid w:val="00CA2884"/>
    <w:rsid w:val="00CA33A4"/>
    <w:rsid w:val="00CA5678"/>
    <w:rsid w:val="00CA5C32"/>
    <w:rsid w:val="00CA61DB"/>
    <w:rsid w:val="00CC2BBA"/>
    <w:rsid w:val="00CC7D4F"/>
    <w:rsid w:val="00CD18CF"/>
    <w:rsid w:val="00CE04D7"/>
    <w:rsid w:val="00CE4476"/>
    <w:rsid w:val="00CF0D9A"/>
    <w:rsid w:val="00CF2A14"/>
    <w:rsid w:val="00CF537F"/>
    <w:rsid w:val="00D01F7A"/>
    <w:rsid w:val="00D0231F"/>
    <w:rsid w:val="00D14648"/>
    <w:rsid w:val="00D15C65"/>
    <w:rsid w:val="00D166B0"/>
    <w:rsid w:val="00D16E16"/>
    <w:rsid w:val="00D17284"/>
    <w:rsid w:val="00D211D6"/>
    <w:rsid w:val="00D22BB2"/>
    <w:rsid w:val="00D36322"/>
    <w:rsid w:val="00D41B44"/>
    <w:rsid w:val="00D42168"/>
    <w:rsid w:val="00D44505"/>
    <w:rsid w:val="00D4668F"/>
    <w:rsid w:val="00D5108E"/>
    <w:rsid w:val="00D5203A"/>
    <w:rsid w:val="00D548A9"/>
    <w:rsid w:val="00D56242"/>
    <w:rsid w:val="00D6776C"/>
    <w:rsid w:val="00D70BC6"/>
    <w:rsid w:val="00D71C3C"/>
    <w:rsid w:val="00D75118"/>
    <w:rsid w:val="00D76BE4"/>
    <w:rsid w:val="00D83FAB"/>
    <w:rsid w:val="00D85058"/>
    <w:rsid w:val="00D85DCD"/>
    <w:rsid w:val="00D96395"/>
    <w:rsid w:val="00D9676C"/>
    <w:rsid w:val="00D97FF1"/>
    <w:rsid w:val="00DA0103"/>
    <w:rsid w:val="00DA049E"/>
    <w:rsid w:val="00DB2822"/>
    <w:rsid w:val="00DC0933"/>
    <w:rsid w:val="00DC1190"/>
    <w:rsid w:val="00DC7F97"/>
    <w:rsid w:val="00DD6AC2"/>
    <w:rsid w:val="00DE1020"/>
    <w:rsid w:val="00DE10E6"/>
    <w:rsid w:val="00DE2D91"/>
    <w:rsid w:val="00DE4678"/>
    <w:rsid w:val="00DF0638"/>
    <w:rsid w:val="00DF18BA"/>
    <w:rsid w:val="00DF20C1"/>
    <w:rsid w:val="00DF329D"/>
    <w:rsid w:val="00DF421F"/>
    <w:rsid w:val="00DF596F"/>
    <w:rsid w:val="00E027E1"/>
    <w:rsid w:val="00E04485"/>
    <w:rsid w:val="00E12D45"/>
    <w:rsid w:val="00E14AE9"/>
    <w:rsid w:val="00E2005F"/>
    <w:rsid w:val="00E20DA0"/>
    <w:rsid w:val="00E22A35"/>
    <w:rsid w:val="00E256C7"/>
    <w:rsid w:val="00E25F33"/>
    <w:rsid w:val="00E27239"/>
    <w:rsid w:val="00E30C31"/>
    <w:rsid w:val="00E31A4D"/>
    <w:rsid w:val="00E32714"/>
    <w:rsid w:val="00E3409C"/>
    <w:rsid w:val="00E34AD2"/>
    <w:rsid w:val="00E35E2E"/>
    <w:rsid w:val="00E40559"/>
    <w:rsid w:val="00E438EF"/>
    <w:rsid w:val="00E44729"/>
    <w:rsid w:val="00E458AF"/>
    <w:rsid w:val="00E612A3"/>
    <w:rsid w:val="00E62D78"/>
    <w:rsid w:val="00E62DA4"/>
    <w:rsid w:val="00E64B1A"/>
    <w:rsid w:val="00E651CE"/>
    <w:rsid w:val="00E66033"/>
    <w:rsid w:val="00E67942"/>
    <w:rsid w:val="00E70D61"/>
    <w:rsid w:val="00E7180E"/>
    <w:rsid w:val="00E76032"/>
    <w:rsid w:val="00E77599"/>
    <w:rsid w:val="00E80BBE"/>
    <w:rsid w:val="00E9137B"/>
    <w:rsid w:val="00E91576"/>
    <w:rsid w:val="00E92380"/>
    <w:rsid w:val="00E92CFD"/>
    <w:rsid w:val="00E959F7"/>
    <w:rsid w:val="00EA2A26"/>
    <w:rsid w:val="00EA2C05"/>
    <w:rsid w:val="00EA5E05"/>
    <w:rsid w:val="00EA65C6"/>
    <w:rsid w:val="00EA6658"/>
    <w:rsid w:val="00EB0594"/>
    <w:rsid w:val="00EB209A"/>
    <w:rsid w:val="00EB4D29"/>
    <w:rsid w:val="00EB5531"/>
    <w:rsid w:val="00EB71E9"/>
    <w:rsid w:val="00EC2055"/>
    <w:rsid w:val="00EC2DE5"/>
    <w:rsid w:val="00EC408D"/>
    <w:rsid w:val="00EC548B"/>
    <w:rsid w:val="00ED073F"/>
    <w:rsid w:val="00ED39E6"/>
    <w:rsid w:val="00ED5977"/>
    <w:rsid w:val="00ED6F5B"/>
    <w:rsid w:val="00EE4CE5"/>
    <w:rsid w:val="00EE4D0E"/>
    <w:rsid w:val="00EF23CE"/>
    <w:rsid w:val="00EF25B1"/>
    <w:rsid w:val="00EF25C1"/>
    <w:rsid w:val="00EF35CF"/>
    <w:rsid w:val="00EF3F68"/>
    <w:rsid w:val="00EF4B1E"/>
    <w:rsid w:val="00EF565E"/>
    <w:rsid w:val="00F027BF"/>
    <w:rsid w:val="00F10C09"/>
    <w:rsid w:val="00F1728A"/>
    <w:rsid w:val="00F17A4B"/>
    <w:rsid w:val="00F20E70"/>
    <w:rsid w:val="00F22AEB"/>
    <w:rsid w:val="00F22F9E"/>
    <w:rsid w:val="00F36B2E"/>
    <w:rsid w:val="00F379CF"/>
    <w:rsid w:val="00F44DF0"/>
    <w:rsid w:val="00F4580F"/>
    <w:rsid w:val="00F462C6"/>
    <w:rsid w:val="00F50FE0"/>
    <w:rsid w:val="00F52515"/>
    <w:rsid w:val="00F557A6"/>
    <w:rsid w:val="00F56B7E"/>
    <w:rsid w:val="00F571ED"/>
    <w:rsid w:val="00F72B33"/>
    <w:rsid w:val="00F730EB"/>
    <w:rsid w:val="00F76BA8"/>
    <w:rsid w:val="00F778CF"/>
    <w:rsid w:val="00F84E4E"/>
    <w:rsid w:val="00F85C02"/>
    <w:rsid w:val="00F91228"/>
    <w:rsid w:val="00F9134B"/>
    <w:rsid w:val="00F915A8"/>
    <w:rsid w:val="00F92FF8"/>
    <w:rsid w:val="00F97A95"/>
    <w:rsid w:val="00FA5F5D"/>
    <w:rsid w:val="00FB7BB4"/>
    <w:rsid w:val="00FC20BF"/>
    <w:rsid w:val="00FC6687"/>
    <w:rsid w:val="00FC6F5C"/>
    <w:rsid w:val="00FD3CEF"/>
    <w:rsid w:val="00FD4190"/>
    <w:rsid w:val="00FD59FB"/>
    <w:rsid w:val="00FD650C"/>
    <w:rsid w:val="00FD7152"/>
    <w:rsid w:val="00FF4EE5"/>
    <w:rsid w:val="00FF6208"/>
    <w:rsid w:val="0851CE1A"/>
    <w:rsid w:val="08B9CF95"/>
    <w:rsid w:val="0B5DCF73"/>
    <w:rsid w:val="0C3F68A9"/>
    <w:rsid w:val="0D249A98"/>
    <w:rsid w:val="0E7A81A6"/>
    <w:rsid w:val="10FDD6F8"/>
    <w:rsid w:val="12FC9CCE"/>
    <w:rsid w:val="1523245B"/>
    <w:rsid w:val="164DA98E"/>
    <w:rsid w:val="1670804F"/>
    <w:rsid w:val="16B9496B"/>
    <w:rsid w:val="1815801C"/>
    <w:rsid w:val="1AFA425C"/>
    <w:rsid w:val="1CB12D77"/>
    <w:rsid w:val="1D193D3C"/>
    <w:rsid w:val="21F162CF"/>
    <w:rsid w:val="221D0478"/>
    <w:rsid w:val="22B44E70"/>
    <w:rsid w:val="25957F0D"/>
    <w:rsid w:val="285E3264"/>
    <w:rsid w:val="28F32501"/>
    <w:rsid w:val="2B63C3C3"/>
    <w:rsid w:val="2C206313"/>
    <w:rsid w:val="2FF20DE9"/>
    <w:rsid w:val="33D857B8"/>
    <w:rsid w:val="37327F11"/>
    <w:rsid w:val="376BAA0C"/>
    <w:rsid w:val="3ACFE86F"/>
    <w:rsid w:val="3B04A42C"/>
    <w:rsid w:val="3ED52C39"/>
    <w:rsid w:val="416C342D"/>
    <w:rsid w:val="41D056CA"/>
    <w:rsid w:val="4448CB53"/>
    <w:rsid w:val="44AC4774"/>
    <w:rsid w:val="45AABAC6"/>
    <w:rsid w:val="47520DCD"/>
    <w:rsid w:val="48506964"/>
    <w:rsid w:val="4BE979DF"/>
    <w:rsid w:val="4C8840A2"/>
    <w:rsid w:val="5206B88D"/>
    <w:rsid w:val="55293349"/>
    <w:rsid w:val="55E9AD0E"/>
    <w:rsid w:val="56050FF3"/>
    <w:rsid w:val="57087D0F"/>
    <w:rsid w:val="57BB525A"/>
    <w:rsid w:val="57EF1BC3"/>
    <w:rsid w:val="5849A952"/>
    <w:rsid w:val="5C2E138C"/>
    <w:rsid w:val="5D99BFD0"/>
    <w:rsid w:val="62C807AF"/>
    <w:rsid w:val="635E46EA"/>
    <w:rsid w:val="6375A51F"/>
    <w:rsid w:val="66DE17D3"/>
    <w:rsid w:val="678416DD"/>
    <w:rsid w:val="67A2DEBA"/>
    <w:rsid w:val="67E3B7B2"/>
    <w:rsid w:val="67E7D5A9"/>
    <w:rsid w:val="68E0C8F1"/>
    <w:rsid w:val="69CDFC9B"/>
    <w:rsid w:val="6C8C82E2"/>
    <w:rsid w:val="6D1FFD6B"/>
    <w:rsid w:val="6F082561"/>
    <w:rsid w:val="6F61F96A"/>
    <w:rsid w:val="732574F5"/>
    <w:rsid w:val="73931DFC"/>
    <w:rsid w:val="75D5FB1C"/>
    <w:rsid w:val="79AC71FA"/>
    <w:rsid w:val="7C2F2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9A98"/>
  <w15:chartTrackingRefBased/>
  <w15:docId w15:val="{11C07F38-A426-45B4-8A84-779DDCB1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B74"/>
    <w:pPr>
      <w:spacing w:after="120"/>
    </w:pPr>
    <w:rPr>
      <w:rFonts w:ascii="Arial" w:hAnsi="Arial"/>
    </w:rPr>
  </w:style>
  <w:style w:type="paragraph" w:styleId="Heading1">
    <w:name w:val="heading 1"/>
    <w:basedOn w:val="Normal"/>
    <w:next w:val="Normal"/>
    <w:link w:val="Heading1Char"/>
    <w:uiPriority w:val="9"/>
    <w:qFormat/>
    <w:rsid w:val="00861C9A"/>
    <w:pPr>
      <w:keepNext/>
      <w:keepLines/>
      <w:spacing w:before="240"/>
      <w:outlineLvl w:val="0"/>
    </w:pPr>
    <w:rPr>
      <w:rFonts w:ascii="Century Gothic" w:eastAsiaTheme="majorEastAsia" w:hAnsi="Century Gothic" w:cstheme="majorBidi"/>
      <w:b/>
      <w:sz w:val="44"/>
      <w:szCs w:val="32"/>
      <w:lang w:val="en-AU"/>
    </w:rPr>
  </w:style>
  <w:style w:type="paragraph" w:styleId="Heading2">
    <w:name w:val="heading 2"/>
    <w:basedOn w:val="Normal"/>
    <w:next w:val="Normal"/>
    <w:link w:val="Heading2Char"/>
    <w:uiPriority w:val="9"/>
    <w:unhideWhenUsed/>
    <w:qFormat/>
    <w:rsid w:val="008C7B74"/>
    <w:pPr>
      <w:keepNext/>
      <w:keepLines/>
      <w:spacing w:before="40"/>
      <w:outlineLvl w:val="1"/>
    </w:pPr>
    <w:rPr>
      <w:rFonts w:ascii="Century Gothic" w:eastAsiaTheme="majorEastAsia" w:hAnsi="Century Gothic" w:cstheme="majorBidi"/>
      <w:b/>
      <w:sz w:val="32"/>
      <w:szCs w:val="26"/>
      <w:lang w:val="en-AU"/>
    </w:rPr>
  </w:style>
  <w:style w:type="paragraph" w:styleId="Heading3">
    <w:name w:val="heading 3"/>
    <w:basedOn w:val="Normal"/>
    <w:next w:val="Normal"/>
    <w:link w:val="Heading3Char"/>
    <w:uiPriority w:val="9"/>
    <w:unhideWhenUsed/>
    <w:qFormat/>
    <w:rsid w:val="00B5111F"/>
    <w:pPr>
      <w:keepNext/>
      <w:keepLines/>
      <w:spacing w:before="40"/>
      <w:outlineLvl w:val="2"/>
    </w:pPr>
    <w:rPr>
      <w:rFonts w:ascii="Century Gothic" w:eastAsiaTheme="majorEastAsia" w:hAnsi="Century Gothic" w:cstheme="majorBidi"/>
      <w:b/>
      <w:sz w:val="26"/>
      <w:szCs w:val="24"/>
      <w:lang w:val="en-AU"/>
    </w:rPr>
  </w:style>
  <w:style w:type="paragraph" w:styleId="Heading4">
    <w:name w:val="heading 4"/>
    <w:basedOn w:val="Normal"/>
    <w:next w:val="Normal"/>
    <w:link w:val="Heading4Char"/>
    <w:uiPriority w:val="9"/>
    <w:unhideWhenUsed/>
    <w:qFormat/>
    <w:rsid w:val="001705BA"/>
    <w:pPr>
      <w:keepNext/>
      <w:keepLines/>
      <w:spacing w:before="40"/>
      <w:outlineLvl w:val="3"/>
    </w:pPr>
    <w:rPr>
      <w:rFonts w:ascii="Century Gothic" w:eastAsiaTheme="majorEastAsia" w:hAnsi="Century Gothic" w:cstheme="majorBid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61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15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61C9A"/>
    <w:rPr>
      <w:rFonts w:ascii="Century Gothic" w:eastAsiaTheme="majorEastAsia" w:hAnsi="Century Gothic" w:cstheme="majorBidi"/>
      <w:b/>
      <w:sz w:val="44"/>
      <w:szCs w:val="32"/>
      <w:lang w:val="en-AU"/>
    </w:rPr>
  </w:style>
  <w:style w:type="character" w:customStyle="1" w:styleId="Heading2Char">
    <w:name w:val="Heading 2 Char"/>
    <w:basedOn w:val="DefaultParagraphFont"/>
    <w:link w:val="Heading2"/>
    <w:uiPriority w:val="9"/>
    <w:rsid w:val="008C7B74"/>
    <w:rPr>
      <w:rFonts w:ascii="Century Gothic" w:eastAsiaTheme="majorEastAsia" w:hAnsi="Century Gothic" w:cstheme="majorBidi"/>
      <w:b/>
      <w:sz w:val="32"/>
      <w:szCs w:val="26"/>
      <w:lang w:val="en-AU"/>
    </w:rPr>
  </w:style>
  <w:style w:type="character" w:customStyle="1" w:styleId="Heading3Char">
    <w:name w:val="Heading 3 Char"/>
    <w:basedOn w:val="DefaultParagraphFont"/>
    <w:link w:val="Heading3"/>
    <w:uiPriority w:val="9"/>
    <w:rsid w:val="006809B8"/>
    <w:rPr>
      <w:rFonts w:ascii="Century Gothic" w:eastAsiaTheme="majorEastAsia" w:hAnsi="Century Gothic" w:cstheme="majorBidi"/>
      <w:b/>
      <w:sz w:val="26"/>
      <w:szCs w:val="24"/>
      <w:lang w:val="en-AU"/>
    </w:rPr>
  </w:style>
  <w:style w:type="paragraph" w:styleId="NoSpacing">
    <w:name w:val="No Spacing"/>
    <w:uiPriority w:val="1"/>
    <w:qFormat/>
    <w:rsid w:val="00BD0441"/>
    <w:pPr>
      <w:spacing w:after="0" w:line="240" w:lineRule="auto"/>
    </w:pPr>
  </w:style>
  <w:style w:type="character" w:customStyle="1" w:styleId="Heading4Char">
    <w:name w:val="Heading 4 Char"/>
    <w:basedOn w:val="DefaultParagraphFont"/>
    <w:link w:val="Heading4"/>
    <w:uiPriority w:val="9"/>
    <w:rsid w:val="001705BA"/>
    <w:rPr>
      <w:rFonts w:ascii="Century Gothic" w:eastAsiaTheme="majorEastAsia" w:hAnsi="Century Gothic" w:cstheme="majorBidi"/>
      <w:iCs/>
      <w:lang w:val="en-AU"/>
    </w:rPr>
  </w:style>
  <w:style w:type="paragraph" w:styleId="Revision">
    <w:name w:val="Revision"/>
    <w:hidden/>
    <w:uiPriority w:val="99"/>
    <w:semiHidden/>
    <w:rsid w:val="001705BA"/>
    <w:pPr>
      <w:spacing w:after="0" w:line="240" w:lineRule="auto"/>
    </w:pPr>
  </w:style>
  <w:style w:type="character" w:styleId="CommentReference">
    <w:name w:val="annotation reference"/>
    <w:basedOn w:val="DefaultParagraphFont"/>
    <w:uiPriority w:val="99"/>
    <w:semiHidden/>
    <w:unhideWhenUsed/>
    <w:rsid w:val="001705BA"/>
    <w:rPr>
      <w:sz w:val="16"/>
      <w:szCs w:val="16"/>
    </w:rPr>
  </w:style>
  <w:style w:type="paragraph" w:styleId="CommentText">
    <w:name w:val="annotation text"/>
    <w:basedOn w:val="Normal"/>
    <w:link w:val="CommentTextChar"/>
    <w:uiPriority w:val="99"/>
    <w:unhideWhenUsed/>
    <w:rsid w:val="001705BA"/>
    <w:pPr>
      <w:spacing w:line="240" w:lineRule="auto"/>
    </w:pPr>
    <w:rPr>
      <w:sz w:val="20"/>
      <w:szCs w:val="20"/>
      <w:lang w:val="en-AU"/>
    </w:rPr>
  </w:style>
  <w:style w:type="character" w:customStyle="1" w:styleId="CommentTextChar">
    <w:name w:val="Comment Text Char"/>
    <w:basedOn w:val="DefaultParagraphFont"/>
    <w:link w:val="CommentText"/>
    <w:uiPriority w:val="99"/>
    <w:rsid w:val="001705BA"/>
    <w:rPr>
      <w:sz w:val="20"/>
      <w:szCs w:val="20"/>
      <w:lang w:val="en-AU"/>
    </w:rPr>
  </w:style>
  <w:style w:type="paragraph" w:styleId="CommentSubject">
    <w:name w:val="annotation subject"/>
    <w:basedOn w:val="CommentText"/>
    <w:next w:val="CommentText"/>
    <w:link w:val="CommentSubjectChar"/>
    <w:uiPriority w:val="99"/>
    <w:semiHidden/>
    <w:unhideWhenUsed/>
    <w:rsid w:val="001705BA"/>
    <w:rPr>
      <w:b/>
      <w:bCs/>
    </w:rPr>
  </w:style>
  <w:style w:type="character" w:customStyle="1" w:styleId="CommentSubjectChar">
    <w:name w:val="Comment Subject Char"/>
    <w:basedOn w:val="CommentTextChar"/>
    <w:link w:val="CommentSubject"/>
    <w:uiPriority w:val="99"/>
    <w:semiHidden/>
    <w:rsid w:val="001705BA"/>
    <w:rPr>
      <w:b/>
      <w:bCs/>
      <w:sz w:val="20"/>
      <w:szCs w:val="20"/>
      <w:lang w:val="en-AU"/>
    </w:rPr>
  </w:style>
  <w:style w:type="paragraph" w:customStyle="1" w:styleId="Default">
    <w:name w:val="Default"/>
    <w:rsid w:val="001705BA"/>
    <w:pPr>
      <w:autoSpaceDE w:val="0"/>
      <w:autoSpaceDN w:val="0"/>
      <w:adjustRightInd w:val="0"/>
      <w:spacing w:after="0" w:line="240" w:lineRule="auto"/>
    </w:pPr>
    <w:rPr>
      <w:rFonts w:ascii="Century Gothic" w:hAnsi="Century Gothic" w:cs="Century Gothic"/>
      <w:color w:val="000000"/>
      <w:sz w:val="24"/>
      <w:szCs w:val="24"/>
      <w:lang w:val="en-AU"/>
    </w:rPr>
  </w:style>
  <w:style w:type="paragraph" w:styleId="ListParagraph">
    <w:name w:val="List Paragraph"/>
    <w:basedOn w:val="Normal"/>
    <w:uiPriority w:val="34"/>
    <w:qFormat/>
    <w:rsid w:val="00B5158D"/>
    <w:pPr>
      <w:ind w:left="720"/>
      <w:contextualSpacing/>
    </w:pPr>
    <w:rPr>
      <w:lang w:val="en-AU"/>
    </w:rPr>
  </w:style>
  <w:style w:type="paragraph" w:styleId="Header">
    <w:name w:val="header"/>
    <w:basedOn w:val="Normal"/>
    <w:link w:val="HeaderChar"/>
    <w:uiPriority w:val="99"/>
    <w:unhideWhenUsed/>
    <w:rsid w:val="00584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F85"/>
  </w:style>
  <w:style w:type="paragraph" w:styleId="Footer">
    <w:name w:val="footer"/>
    <w:basedOn w:val="Normal"/>
    <w:link w:val="FooterChar"/>
    <w:uiPriority w:val="99"/>
    <w:unhideWhenUsed/>
    <w:rsid w:val="00584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F85"/>
  </w:style>
  <w:style w:type="table" w:styleId="TableGrid">
    <w:name w:val="Table Grid"/>
    <w:basedOn w:val="TableNormal"/>
    <w:uiPriority w:val="59"/>
    <w:rsid w:val="00584F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91058">
      <w:bodyDiv w:val="1"/>
      <w:marLeft w:val="0"/>
      <w:marRight w:val="0"/>
      <w:marTop w:val="0"/>
      <w:marBottom w:val="0"/>
      <w:divBdr>
        <w:top w:val="none" w:sz="0" w:space="0" w:color="auto"/>
        <w:left w:val="none" w:sz="0" w:space="0" w:color="auto"/>
        <w:bottom w:val="none" w:sz="0" w:space="0" w:color="auto"/>
        <w:right w:val="none" w:sz="0" w:space="0" w:color="auto"/>
      </w:divBdr>
    </w:div>
    <w:div w:id="1275793204">
      <w:bodyDiv w:val="1"/>
      <w:marLeft w:val="0"/>
      <w:marRight w:val="0"/>
      <w:marTop w:val="0"/>
      <w:marBottom w:val="0"/>
      <w:divBdr>
        <w:top w:val="none" w:sz="0" w:space="0" w:color="auto"/>
        <w:left w:val="none" w:sz="0" w:space="0" w:color="auto"/>
        <w:bottom w:val="none" w:sz="0" w:space="0" w:color="auto"/>
        <w:right w:val="none" w:sz="0" w:space="0" w:color="auto"/>
      </w:divBdr>
    </w:div>
    <w:div w:id="18674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71801CBBEE4F9FCA2DD085F92561" ma:contentTypeVersion="18" ma:contentTypeDescription="Create a new document." ma:contentTypeScope="" ma:versionID="83da9e6bd1d71940ae85a715fd8e0eb6">
  <xsd:schema xmlns:xsd="http://www.w3.org/2001/XMLSchema" xmlns:xs="http://www.w3.org/2001/XMLSchema" xmlns:p="http://schemas.microsoft.com/office/2006/metadata/properties" xmlns:ns2="f43641ba-05c2-4f8d-b827-f6b0d3c2bfe6" xmlns:ns3="de7e9adc-1c58-45f6-90e4-74f490ecf101" targetNamespace="http://schemas.microsoft.com/office/2006/metadata/properties" ma:root="true" ma:fieldsID="ea12db7e51922d73b89a4567196e8b05" ns2:_="" ns3:_="">
    <xsd:import namespace="f43641ba-05c2-4f8d-b827-f6b0d3c2bfe6"/>
    <xsd:import namespace="de7e9adc-1c58-45f6-90e4-74f490ecf1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IM" minOccurs="0"/>
                <xsd:element ref="ns2:Note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641ba-05c2-4f8d-b827-f6b0d3c2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IM" ma:index="14" nillable="true" ma:displayName="TRIM" ma:description="The TRIM reference for the final document" ma:format="Dropdown" ma:internalName="TRIM">
      <xsd:simpleType>
        <xsd:restriction base="dms:Text">
          <xsd:maxLength value="255"/>
        </xsd:restriction>
      </xsd:simpleType>
    </xsd:element>
    <xsd:element name="Notes" ma:index="15" nillable="true" ma:displayName="Notes" ma:format="Dropdown" ma:internalName="Note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e9adc-1c58-45f6-90e4-74f490ecf1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2a30b5-1879-4bf3-8b0c-738d376e0674}" ma:internalName="TaxCatchAll" ma:showField="CatchAllData" ma:web="de7e9adc-1c58-45f6-90e4-74f490ecf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3641ba-05c2-4f8d-b827-f6b0d3c2bfe6">
      <Terms xmlns="http://schemas.microsoft.com/office/infopath/2007/PartnerControls"/>
    </lcf76f155ced4ddcb4097134ff3c332f>
    <TRIM xmlns="f43641ba-05c2-4f8d-b827-f6b0d3c2bfe6" xsi:nil="true"/>
    <Notes xmlns="f43641ba-05c2-4f8d-b827-f6b0d3c2bfe6" xsi:nil="true"/>
    <TaxCatchAll xmlns="de7e9adc-1c58-45f6-90e4-74f490ecf101" xsi:nil="true"/>
    <SharedWithUsers xmlns="de7e9adc-1c58-45f6-90e4-74f490ecf101">
      <UserInfo>
        <DisplayName>Noonan, David</DisplayName>
        <AccountId>12</AccountId>
        <AccountType/>
      </UserInfo>
    </SharedWithUsers>
  </documentManagement>
</p:properties>
</file>

<file path=customXml/itemProps1.xml><?xml version="1.0" encoding="utf-8"?>
<ds:datastoreItem xmlns:ds="http://schemas.openxmlformats.org/officeDocument/2006/customXml" ds:itemID="{DDDA09D6-2A5F-4D06-8902-613262D3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641ba-05c2-4f8d-b827-f6b0d3c2bfe6"/>
    <ds:schemaRef ds:uri="de7e9adc-1c58-45f6-90e4-74f490ecf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A0F3E-7234-484C-BA6A-4411DD320637}">
  <ds:schemaRefs>
    <ds:schemaRef ds:uri="http://schemas.openxmlformats.org/officeDocument/2006/bibliography"/>
  </ds:schemaRefs>
</ds:datastoreItem>
</file>

<file path=customXml/itemProps3.xml><?xml version="1.0" encoding="utf-8"?>
<ds:datastoreItem xmlns:ds="http://schemas.openxmlformats.org/officeDocument/2006/customXml" ds:itemID="{FA584D31-1E28-4482-AF00-10E0DF465AAE}">
  <ds:schemaRefs>
    <ds:schemaRef ds:uri="http://schemas.microsoft.com/sharepoint/v3/contenttype/forms"/>
  </ds:schemaRefs>
</ds:datastoreItem>
</file>

<file path=customXml/itemProps4.xml><?xml version="1.0" encoding="utf-8"?>
<ds:datastoreItem xmlns:ds="http://schemas.openxmlformats.org/officeDocument/2006/customXml" ds:itemID="{84E442DB-0B89-4C29-BAA2-A76B5D548A2C}">
  <ds:schemaRefs>
    <ds:schemaRef ds:uri="http://schemas.microsoft.com/office/2006/metadata/properties"/>
    <ds:schemaRef ds:uri="http://schemas.microsoft.com/office/infopath/2007/PartnerControls"/>
    <ds:schemaRef ds:uri="f43641ba-05c2-4f8d-b827-f6b0d3c2bfe6"/>
    <ds:schemaRef ds:uri="de7e9adc-1c58-45f6-90e4-74f490ecf101"/>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6940</Words>
  <Characters>39561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Sector Commission</dc:creator>
  <cp:keywords/>
  <dc:description/>
  <cp:lastModifiedBy>Partridge, Julian</cp:lastModifiedBy>
  <cp:revision>9</cp:revision>
  <cp:lastPrinted>2023-10-25T02:04:00Z</cp:lastPrinted>
  <dcterms:created xsi:type="dcterms:W3CDTF">2023-10-23T04:27:00Z</dcterms:created>
  <dcterms:modified xsi:type="dcterms:W3CDTF">2023-11-09T06:18:00Z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0x010100F5AC71801CBBEE4F9FCA2DD085F92561</vt:lpwstr>
  </property>
  <property fmtid="{D5CDD505-2E9C-101B-9397-08002B2CF9AE}" pid="3" name="MSIP_Label_9debd643-ebde-44ed-8e8b-40a2ae139fe2_Enabled">
    <vt:lpwstr>true</vt:lpwstr>
  </property>
  <property fmtid="{D5CDD505-2E9C-101B-9397-08002B2CF9AE}" pid="4" name="MSIP_Label_9debd643-ebde-44ed-8e8b-40a2ae139fe2_SetDate">
    <vt:lpwstr>2023-09-27T01:48:30Z</vt:lpwstr>
  </property>
  <property fmtid="{D5CDD505-2E9C-101B-9397-08002B2CF9AE}" pid="5" name="MSIP_Label_9debd643-ebde-44ed-8e8b-40a2ae139fe2_Method">
    <vt:lpwstr>Standard</vt:lpwstr>
  </property>
  <property fmtid="{D5CDD505-2E9C-101B-9397-08002B2CF9AE}" pid="6" name="MSIP_Label_9debd643-ebde-44ed-8e8b-40a2ae139fe2_Name">
    <vt:lpwstr>OFFICIAL PSC.</vt:lpwstr>
  </property>
  <property fmtid="{D5CDD505-2E9C-101B-9397-08002B2CF9AE}" pid="7" name="MSIP_Label_9debd643-ebde-44ed-8e8b-40a2ae139fe2_SiteId">
    <vt:lpwstr>d48144b5-571f-4b68-9721-e41bc0071e17</vt:lpwstr>
  </property>
  <property fmtid="{D5CDD505-2E9C-101B-9397-08002B2CF9AE}" pid="8" name="MSIP_Label_9debd643-ebde-44ed-8e8b-40a2ae139fe2_ActionId">
    <vt:lpwstr>d6078954-4a94-492b-81ec-8ffa814bad4d</vt:lpwstr>
  </property>
  <property fmtid="{D5CDD505-2E9C-101B-9397-08002B2CF9AE}" pid="9" name="MSIP_Label_9debd643-ebde-44ed-8e8b-40a2ae139fe2_ContentBits">
    <vt:lpwstr>0</vt:lpwstr>
  </property>
  <property fmtid="{D5CDD505-2E9C-101B-9397-08002B2CF9AE}" pid="10" name="MediaServiceImageTags">
    <vt:lpwstr/>
  </property>
</Properties>
</file>