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5467F3" w:rsidP="00C226AF">
      <w:pPr>
        <w:pStyle w:val="FlyerSubtitle"/>
        <w:pBdr>
          <w:bottom w:val="single" w:sz="4" w:space="1" w:color="auto"/>
        </w:pBdr>
        <w:tabs>
          <w:tab w:val="left" w:pos="8931"/>
          <w:tab w:val="right" w:pos="9865"/>
        </w:tabs>
      </w:pPr>
      <w:r w:rsidRPr="005467F3">
        <w:t>Good governance guide for public sector agencies</w:t>
      </w:r>
      <w:r w:rsidR="00DE78B1">
        <w:tab/>
      </w:r>
    </w:p>
    <w:p w:rsidR="0022149D" w:rsidRDefault="005467F3" w:rsidP="00CF0EBF">
      <w:pPr>
        <w:pStyle w:val="FlyerTitle"/>
        <w:spacing w:after="960"/>
      </w:pPr>
      <w:r w:rsidRPr="00F85AD6">
        <w:rPr>
          <w:lang w:val="en-AU"/>
        </w:rPr>
        <w:t>Checklist</w:t>
      </w:r>
    </w:p>
    <w:p w:rsidR="005467F3" w:rsidRPr="00F85AD6" w:rsidRDefault="005467F3" w:rsidP="005467F3">
      <w:pPr>
        <w:pStyle w:val="Heading2"/>
      </w:pPr>
      <w:r>
        <w:t xml:space="preserve">Using this </w:t>
      </w:r>
      <w:r w:rsidRPr="00F85AD6">
        <w:t>checklist</w:t>
      </w:r>
    </w:p>
    <w:p w:rsidR="005467F3" w:rsidRPr="00F85AD6" w:rsidRDefault="005467F3" w:rsidP="005467F3">
      <w:r w:rsidRPr="00F85AD6">
        <w:t xml:space="preserve">Public sector agencies can use this checklist to assess and manage compliance with their requirements for accountability set out in the </w:t>
      </w:r>
      <w:r w:rsidRPr="00F85AD6">
        <w:rPr>
          <w:i/>
        </w:rPr>
        <w:t>Good governance guide</w:t>
      </w:r>
      <w:r>
        <w:rPr>
          <w:i/>
        </w:rPr>
        <w:t xml:space="preserve"> for public sector agencies</w:t>
      </w:r>
      <w:r w:rsidRPr="00F85AD6">
        <w:t xml:space="preserve">. </w:t>
      </w:r>
    </w:p>
    <w:p w:rsidR="005467F3" w:rsidRPr="00F85AD6" w:rsidRDefault="005467F3" w:rsidP="005467F3">
      <w:r w:rsidRPr="00F85AD6">
        <w:t>Accountability requirements are complemented by agency performance systems and processes.</w:t>
      </w:r>
    </w:p>
    <w:p w:rsidR="005467F3" w:rsidRPr="00F85AD6" w:rsidRDefault="005467F3" w:rsidP="005467F3">
      <w:r w:rsidRPr="00F85AD6">
        <w:t>The checklist allows you to gain a quick overview of your agency’s broad level of compliance with accountability requirements. It helps you to identify your agency’s particular strengths and to make sure that you are not neglecting any major governance area</w:t>
      </w:r>
      <w:r>
        <w:t>s</w:t>
      </w:r>
      <w:r w:rsidRPr="00F85AD6">
        <w:t xml:space="preserve">. It is also a practical tool to plan and prioritise your agency’s governance performance. </w:t>
      </w:r>
    </w:p>
    <w:p w:rsidR="005467F3" w:rsidRDefault="005467F3" w:rsidP="005467F3">
      <w:r w:rsidRPr="00F85AD6">
        <w:t>The checklist relies on information often available in your annual report or on your website. It therefore does</w:t>
      </w:r>
      <w:r>
        <w:t xml:space="preserve"> </w:t>
      </w:r>
      <w:r w:rsidRPr="00F85AD6">
        <w:t>n</w:t>
      </w:r>
      <w:r>
        <w:t>o</w:t>
      </w:r>
      <w:r w:rsidRPr="00F85AD6">
        <w:t xml:space="preserve">t add to your reporting activities but streamlines existing information and helps you digest this in a simple and easy-to-read format </w:t>
      </w:r>
      <w:r>
        <w:t xml:space="preserve">that can be made </w:t>
      </w:r>
      <w:r w:rsidRPr="00F85AD6">
        <w:t>accessible to a wide variety of audiences.</w:t>
      </w:r>
    </w:p>
    <w:p w:rsidR="005467F3" w:rsidRPr="00F85AD6" w:rsidRDefault="005467F3" w:rsidP="005467F3">
      <w:r w:rsidRPr="007B7E8E">
        <w:t xml:space="preserve">Finally, the Public Sector Commission sponsors a Lonnie Award and uses this checklist to assess agency annual reports with respect to governance information.  Use the checklist to make sure your annual report contains adequate information on your agency’s governance framework. </w:t>
      </w:r>
    </w:p>
    <w:p w:rsidR="005467F3" w:rsidRPr="00F85AD6" w:rsidRDefault="005467F3" w:rsidP="005467F3">
      <w:pPr>
        <w:spacing w:before="0" w:after="0" w:line="240" w:lineRule="auto"/>
      </w:pPr>
      <w:r w:rsidRPr="00F85AD6">
        <w:br w:type="page"/>
      </w:r>
    </w:p>
    <w:p w:rsidR="005467F3" w:rsidRPr="00F85AD6" w:rsidRDefault="005467F3" w:rsidP="005467F3">
      <w:pPr>
        <w:pStyle w:val="Heading2"/>
      </w:pPr>
      <w:r w:rsidRPr="00F85AD6">
        <w:lastRenderedPageBreak/>
        <w:t>Principle 1: Government and public sector relationship</w:t>
      </w:r>
    </w:p>
    <w:p w:rsidR="005467F3" w:rsidRPr="00F85AD6" w:rsidRDefault="005467F3" w:rsidP="005467F3">
      <w:r w:rsidRPr="00F85AD6">
        <w:t>The agency’s relationship with the government is clear.</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5467F3">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9C7906">
            <w:pPr>
              <w:spacing w:before="144" w:after="144" w:line="240" w:lineRule="auto"/>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bookmarkStart w:id="0" w:name="OLE_LINK1"/>
            <w:bookmarkStart w:id="1" w:name="OLE_LINK2"/>
            <w:r w:rsidRPr="00F85AD6">
              <w:t>Annual report</w:t>
            </w:r>
            <w:bookmarkEnd w:id="0"/>
            <w:bookmarkEnd w:id="1"/>
            <w:r w:rsidRPr="00F85AD6">
              <w:t xml:space="preserve"> reference</w:t>
            </w:r>
          </w:p>
        </w:tc>
        <w:tc>
          <w:tcPr>
            <w:tcW w:w="815" w:type="dxa"/>
          </w:tcPr>
          <w:p w:rsidR="005467F3" w:rsidRPr="00F85AD6" w:rsidRDefault="005467F3" w:rsidP="009C7906">
            <w:pPr>
              <w:spacing w:before="144" w:after="144" w:line="240" w:lineRule="auto"/>
            </w:pPr>
            <w:bookmarkStart w:id="2" w:name="OLE_LINK3"/>
            <w:bookmarkStart w:id="3" w:name="OLE_LINK4"/>
            <w:r w:rsidRPr="00F85AD6">
              <w:t>Meet (Y/N)</w:t>
            </w:r>
            <w:bookmarkEnd w:id="2"/>
            <w:bookmarkEnd w:id="3"/>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1.1</w:t>
            </w:r>
          </w:p>
        </w:tc>
        <w:tc>
          <w:tcPr>
            <w:tcW w:w="3761" w:type="dxa"/>
          </w:tcPr>
          <w:p w:rsidR="005467F3" w:rsidRPr="00F85AD6" w:rsidRDefault="005467F3" w:rsidP="009C7906">
            <w:pPr>
              <w:spacing w:line="240" w:lineRule="auto"/>
            </w:pPr>
            <w:r w:rsidRPr="00F85AD6">
              <w:t xml:space="preserve">A document defines responsibilities and accountabilities between the chief executive officer and the </w:t>
            </w:r>
            <w:r w:rsidRPr="0056260D">
              <w:t>Minister</w:t>
            </w:r>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1.2</w:t>
            </w:r>
          </w:p>
        </w:tc>
        <w:tc>
          <w:tcPr>
            <w:tcW w:w="3761" w:type="dxa"/>
          </w:tcPr>
          <w:p w:rsidR="005467F3" w:rsidRPr="00F85AD6" w:rsidRDefault="005467F3" w:rsidP="009C7906">
            <w:pPr>
              <w:spacing w:line="240" w:lineRule="auto"/>
            </w:pPr>
            <w:r w:rsidRPr="00F85AD6">
              <w:t>Processes exist to manage communication and other interaction between ministers and other parliamentary representatives and the agency</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1.3</w:t>
            </w:r>
          </w:p>
        </w:tc>
        <w:tc>
          <w:tcPr>
            <w:tcW w:w="3761" w:type="dxa"/>
          </w:tcPr>
          <w:p w:rsidR="005467F3" w:rsidRPr="00F85AD6" w:rsidRDefault="005467F3" w:rsidP="009C7906">
            <w:pPr>
              <w:spacing w:line="240" w:lineRule="auto"/>
            </w:pPr>
            <w:r w:rsidRPr="00F85AD6">
              <w:t>Communication and other interaction are recorded and monitored</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trHeight w:val="975"/>
        </w:trPr>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bl>
    <w:p w:rsidR="005467F3" w:rsidRPr="00F85AD6" w:rsidRDefault="005467F3" w:rsidP="005467F3"/>
    <w:p w:rsidR="005467F3" w:rsidRPr="00F85AD6" w:rsidRDefault="005467F3" w:rsidP="005467F3">
      <w:pPr>
        <w:spacing w:before="0" w:after="0" w:line="240" w:lineRule="auto"/>
      </w:pPr>
      <w:r w:rsidRPr="00F85AD6">
        <w:br w:type="page"/>
      </w:r>
    </w:p>
    <w:p w:rsidR="005467F3" w:rsidRPr="00F85AD6" w:rsidRDefault="005467F3" w:rsidP="005467F3">
      <w:pPr>
        <w:pStyle w:val="Heading2"/>
      </w:pPr>
      <w:r w:rsidRPr="00F85AD6">
        <w:lastRenderedPageBreak/>
        <w:t>Principle 2: Management and oversight</w:t>
      </w:r>
    </w:p>
    <w:p w:rsidR="005467F3" w:rsidRPr="00F85AD6" w:rsidRDefault="005467F3" w:rsidP="005467F3">
      <w:r w:rsidRPr="00F85AD6">
        <w:t xml:space="preserve">The agency’s management </w:t>
      </w:r>
      <w:r>
        <w:t>has clear</w:t>
      </w:r>
      <w:r w:rsidRPr="00F85AD6">
        <w:t xml:space="preserve"> oversight </w:t>
      </w:r>
      <w:r>
        <w:t xml:space="preserve">and </w:t>
      </w:r>
      <w:r w:rsidRPr="00F85AD6">
        <w:t>accountabi</w:t>
      </w:r>
      <w:r>
        <w:t>lity</w:t>
      </w:r>
      <w:r w:rsidRPr="00F85AD6">
        <w:t xml:space="preserve"> and clearly defined responsibilities.</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5467F3">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9C7906">
            <w:pPr>
              <w:spacing w:before="144" w:after="144" w:line="240" w:lineRule="auto"/>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r w:rsidRPr="00F85AD6">
              <w:t>Annual report reference</w:t>
            </w:r>
          </w:p>
        </w:tc>
        <w:tc>
          <w:tcPr>
            <w:tcW w:w="815" w:type="dxa"/>
          </w:tcPr>
          <w:p w:rsidR="005467F3" w:rsidRPr="00F85AD6" w:rsidRDefault="005467F3" w:rsidP="009C7906">
            <w:pPr>
              <w:spacing w:before="144" w:after="144" w:line="240" w:lineRule="auto"/>
            </w:pPr>
            <w:r w:rsidRPr="00F85AD6">
              <w:t>Meet (Y/N)</w:t>
            </w: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2.1</w:t>
            </w:r>
          </w:p>
        </w:tc>
        <w:tc>
          <w:tcPr>
            <w:tcW w:w="3761" w:type="dxa"/>
          </w:tcPr>
          <w:p w:rsidR="005467F3" w:rsidRPr="00F85AD6" w:rsidRDefault="005467F3" w:rsidP="009C7906">
            <w:pPr>
              <w:spacing w:line="240" w:lineRule="auto"/>
            </w:pPr>
            <w:r w:rsidRPr="00F85AD6">
              <w:t>A document defines roles, responsibilities and accountability for all relevant levels of management (e.g. those involved in setting the agency’s key strategic goals and outcomes and monitoring organisational performance)</w:t>
            </w:r>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2.2</w:t>
            </w:r>
          </w:p>
        </w:tc>
        <w:tc>
          <w:tcPr>
            <w:tcW w:w="3761" w:type="dxa"/>
          </w:tcPr>
          <w:p w:rsidR="005467F3" w:rsidRPr="00F85AD6" w:rsidRDefault="005467F3" w:rsidP="009C7906">
            <w:pPr>
              <w:spacing w:line="240" w:lineRule="auto"/>
            </w:pPr>
            <w:r w:rsidRPr="00F85AD6">
              <w:t>Where boards and committees exist, the relationship between the parties must be clearly defined</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2.3</w:t>
            </w:r>
          </w:p>
        </w:tc>
        <w:tc>
          <w:tcPr>
            <w:tcW w:w="3761" w:type="dxa"/>
          </w:tcPr>
          <w:p w:rsidR="005467F3" w:rsidRPr="00F85AD6" w:rsidRDefault="005467F3" w:rsidP="009C7906">
            <w:pPr>
              <w:spacing w:line="240" w:lineRule="auto"/>
            </w:pPr>
            <w:r w:rsidRPr="00F85AD6">
              <w:t>A strategic plan outlines the agency’s key strategic goals and outcomes and outputs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2.4</w:t>
            </w:r>
          </w:p>
        </w:tc>
        <w:tc>
          <w:tcPr>
            <w:tcW w:w="3761" w:type="dxa"/>
          </w:tcPr>
          <w:p w:rsidR="005467F3" w:rsidRPr="00F85AD6" w:rsidRDefault="005467F3" w:rsidP="009C7906">
            <w:pPr>
              <w:spacing w:line="240" w:lineRule="auto"/>
            </w:pPr>
            <w:r w:rsidRPr="00F85AD6">
              <w:t>Operational plans and programs of work exist that define critical success factors and outline how key strategic goals and outcomes will be accomplished at all levels of the agency</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2.5</w:t>
            </w:r>
          </w:p>
        </w:tc>
        <w:tc>
          <w:tcPr>
            <w:tcW w:w="3761" w:type="dxa"/>
          </w:tcPr>
          <w:p w:rsidR="005467F3" w:rsidRPr="00F85AD6" w:rsidRDefault="005467F3" w:rsidP="009C7906">
            <w:pPr>
              <w:spacing w:line="240" w:lineRule="auto"/>
            </w:pPr>
            <w:r w:rsidRPr="00F85AD6">
              <w:t>A delegations framework defines authority levels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2.6</w:t>
            </w:r>
          </w:p>
        </w:tc>
        <w:tc>
          <w:tcPr>
            <w:tcW w:w="3761" w:type="dxa"/>
          </w:tcPr>
          <w:p w:rsidR="005467F3" w:rsidRPr="00F85AD6" w:rsidRDefault="005467F3" w:rsidP="009C7906">
            <w:pPr>
              <w:spacing w:line="240" w:lineRule="auto"/>
            </w:pPr>
            <w:r w:rsidRPr="00F85AD6">
              <w:t>Performance measures are defined and monitored for the agency’s strategic goals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bl>
    <w:p w:rsidR="005467F3" w:rsidRDefault="005467F3" w:rsidP="005467F3">
      <w:pPr>
        <w:pStyle w:val="Heading2"/>
      </w:pPr>
    </w:p>
    <w:p w:rsidR="005467F3" w:rsidRDefault="005467F3">
      <w:pPr>
        <w:spacing w:before="0" w:after="0" w:line="240" w:lineRule="auto"/>
        <w:rPr>
          <w:b/>
          <w:color w:val="003767"/>
        </w:rPr>
      </w:pPr>
      <w:r>
        <w:br w:type="page"/>
      </w:r>
    </w:p>
    <w:p w:rsidR="005467F3" w:rsidRPr="00F85AD6" w:rsidRDefault="005467F3" w:rsidP="005467F3">
      <w:pPr>
        <w:pStyle w:val="Heading2"/>
      </w:pPr>
      <w:r w:rsidRPr="00F85AD6">
        <w:lastRenderedPageBreak/>
        <w:t>Principle 3: Organisational structure</w:t>
      </w:r>
    </w:p>
    <w:p w:rsidR="005467F3" w:rsidRPr="00F85AD6" w:rsidRDefault="005467F3" w:rsidP="005467F3">
      <w:r w:rsidRPr="00F85AD6">
        <w:t>The agency’s structure serves its operations.</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5467F3">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5467F3">
            <w:pPr>
              <w:spacing w:before="144" w:after="144" w:line="240" w:lineRule="auto"/>
              <w:jc w:val="center"/>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r w:rsidRPr="00F85AD6">
              <w:t>Annual report reference</w:t>
            </w:r>
          </w:p>
        </w:tc>
        <w:tc>
          <w:tcPr>
            <w:tcW w:w="815" w:type="dxa"/>
          </w:tcPr>
          <w:p w:rsidR="005467F3" w:rsidRPr="00F85AD6" w:rsidRDefault="005467F3" w:rsidP="009C7906">
            <w:pPr>
              <w:spacing w:before="144" w:after="144" w:line="240" w:lineRule="auto"/>
            </w:pPr>
            <w:r w:rsidRPr="00F85AD6">
              <w:t>Meet (Y/N)</w:t>
            </w: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3.1</w:t>
            </w:r>
          </w:p>
        </w:tc>
        <w:tc>
          <w:tcPr>
            <w:tcW w:w="3761" w:type="dxa"/>
          </w:tcPr>
          <w:p w:rsidR="005467F3" w:rsidRPr="00F85AD6" w:rsidRDefault="005467F3" w:rsidP="009C7906">
            <w:pPr>
              <w:spacing w:line="240" w:lineRule="auto"/>
            </w:pPr>
            <w:r w:rsidRPr="00F85AD6">
              <w:t>Policies ensure that the agency’s structure serves its key strategic goals and outcomes</w:t>
            </w:r>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3.2</w:t>
            </w:r>
          </w:p>
        </w:tc>
        <w:tc>
          <w:tcPr>
            <w:tcW w:w="3761" w:type="dxa"/>
          </w:tcPr>
          <w:p w:rsidR="005467F3" w:rsidRPr="00F85AD6" w:rsidRDefault="005467F3" w:rsidP="009C7906">
            <w:pPr>
              <w:spacing w:line="240" w:lineRule="auto"/>
            </w:pPr>
            <w:r w:rsidRPr="00F85AD6">
              <w:t>Processes exist to manage structural change and the relationships between business units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3.3</w:t>
            </w:r>
          </w:p>
        </w:tc>
        <w:tc>
          <w:tcPr>
            <w:tcW w:w="3761" w:type="dxa"/>
          </w:tcPr>
          <w:p w:rsidR="005467F3" w:rsidRPr="00F85AD6" w:rsidRDefault="005467F3" w:rsidP="009C7906">
            <w:pPr>
              <w:spacing w:line="240" w:lineRule="auto"/>
            </w:pPr>
            <w:r w:rsidRPr="00F85AD6">
              <w:t>Performance measures identify how well the structure delivers against strategic plans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bl>
    <w:p w:rsidR="005467F3" w:rsidRPr="00F85AD6" w:rsidRDefault="005467F3" w:rsidP="005467F3">
      <w:pPr>
        <w:spacing w:before="0" w:after="0" w:line="240" w:lineRule="auto"/>
      </w:pPr>
      <w:r w:rsidRPr="00F85AD6">
        <w:br w:type="page"/>
      </w:r>
    </w:p>
    <w:p w:rsidR="005467F3" w:rsidRPr="00F85AD6" w:rsidRDefault="005467F3" w:rsidP="005467F3">
      <w:pPr>
        <w:pStyle w:val="Heading2"/>
      </w:pPr>
      <w:r w:rsidRPr="00F85AD6">
        <w:lastRenderedPageBreak/>
        <w:t>Principle 4: Operations</w:t>
      </w:r>
    </w:p>
    <w:p w:rsidR="005467F3" w:rsidRPr="00F85AD6" w:rsidRDefault="005467F3" w:rsidP="005467F3">
      <w:r w:rsidRPr="00F85AD6">
        <w:t>The agency plans its operations to achieve its goals.</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F432DD">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5467F3">
            <w:pPr>
              <w:spacing w:before="144" w:after="144" w:line="240" w:lineRule="auto"/>
              <w:jc w:val="center"/>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r w:rsidRPr="00F85AD6">
              <w:t>Annual report reference</w:t>
            </w:r>
          </w:p>
        </w:tc>
        <w:tc>
          <w:tcPr>
            <w:tcW w:w="815" w:type="dxa"/>
          </w:tcPr>
          <w:p w:rsidR="005467F3" w:rsidRPr="00F85AD6" w:rsidRDefault="005467F3" w:rsidP="009C7906">
            <w:pPr>
              <w:spacing w:before="144" w:after="144" w:line="240" w:lineRule="auto"/>
            </w:pPr>
            <w:r w:rsidRPr="00F85AD6">
              <w:t>Meet (Y/N)</w:t>
            </w:r>
          </w:p>
        </w:tc>
      </w:tr>
      <w:tr w:rsidR="005467F3" w:rsidRPr="00F85AD6" w:rsidTr="00F432DD">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4.1</w:t>
            </w:r>
          </w:p>
        </w:tc>
        <w:tc>
          <w:tcPr>
            <w:tcW w:w="3761" w:type="dxa"/>
          </w:tcPr>
          <w:p w:rsidR="005467F3" w:rsidRPr="00F85AD6" w:rsidRDefault="005467F3" w:rsidP="009C7906">
            <w:pPr>
              <w:spacing w:line="240" w:lineRule="auto"/>
            </w:pPr>
            <w:r w:rsidRPr="00F85AD6">
              <w:t>Policies enable operations to deliver against the agency’s key strategic goals and outcomes</w:t>
            </w:r>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F432DD">
        <w:tc>
          <w:tcPr>
            <w:tcW w:w="775" w:type="dxa"/>
          </w:tcPr>
          <w:p w:rsidR="005467F3" w:rsidRPr="00F85AD6" w:rsidRDefault="005467F3" w:rsidP="005467F3">
            <w:pPr>
              <w:spacing w:line="240" w:lineRule="auto"/>
              <w:jc w:val="center"/>
            </w:pPr>
            <w:r w:rsidRPr="00F85AD6">
              <w:t>4.2</w:t>
            </w:r>
          </w:p>
        </w:tc>
        <w:tc>
          <w:tcPr>
            <w:tcW w:w="3761" w:type="dxa"/>
          </w:tcPr>
          <w:p w:rsidR="005467F3" w:rsidRPr="00F85AD6" w:rsidRDefault="005467F3" w:rsidP="009C7906">
            <w:pPr>
              <w:spacing w:line="240" w:lineRule="auto"/>
            </w:pPr>
            <w:r w:rsidRPr="00F85AD6">
              <w:t>The agency’s operational plans and programs of work support the agency’s key strategic goals and outcomes and are regularly adjusted to changes in strategic and environmental imperatives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F432DD">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4.3</w:t>
            </w:r>
          </w:p>
        </w:tc>
        <w:tc>
          <w:tcPr>
            <w:tcW w:w="3761" w:type="dxa"/>
          </w:tcPr>
          <w:p w:rsidR="005467F3" w:rsidRPr="00F85AD6" w:rsidRDefault="005467F3" w:rsidP="009C7906">
            <w:pPr>
              <w:spacing w:line="240" w:lineRule="auto"/>
            </w:pPr>
            <w:r w:rsidRPr="00F85AD6">
              <w:t>Infrastructure is in place to enable the agency to implement its operational plans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785110" w:rsidRPr="00F85AD6" w:rsidTr="00F432DD">
        <w:tc>
          <w:tcPr>
            <w:tcW w:w="775" w:type="dxa"/>
          </w:tcPr>
          <w:p w:rsidR="00785110" w:rsidRPr="00F85AD6" w:rsidRDefault="00785110" w:rsidP="005467F3">
            <w:pPr>
              <w:spacing w:line="240" w:lineRule="auto"/>
              <w:jc w:val="center"/>
            </w:pPr>
            <w:r>
              <w:t>4.4</w:t>
            </w:r>
          </w:p>
        </w:tc>
        <w:tc>
          <w:tcPr>
            <w:tcW w:w="3761" w:type="dxa"/>
          </w:tcPr>
          <w:p w:rsidR="00785110" w:rsidRPr="00F85AD6" w:rsidRDefault="00785110" w:rsidP="009C7906">
            <w:pPr>
              <w:spacing w:line="240" w:lineRule="auto"/>
            </w:pPr>
            <w:r w:rsidRPr="00785110">
              <w:t>A proper and adequate record is maintained of the performance of the agency’s operations as aligned with its k</w:t>
            </w:r>
            <w:r>
              <w:t>ey strategic goals and outcomes</w:t>
            </w:r>
          </w:p>
        </w:tc>
        <w:tc>
          <w:tcPr>
            <w:tcW w:w="2127" w:type="dxa"/>
          </w:tcPr>
          <w:p w:rsidR="00785110" w:rsidRPr="00F85AD6" w:rsidRDefault="00785110" w:rsidP="009C7906">
            <w:pPr>
              <w:spacing w:before="60" w:after="60" w:line="240" w:lineRule="auto"/>
              <w:rPr>
                <w:bCs w:val="0"/>
              </w:rPr>
            </w:pPr>
          </w:p>
        </w:tc>
        <w:tc>
          <w:tcPr>
            <w:tcW w:w="1701" w:type="dxa"/>
          </w:tcPr>
          <w:p w:rsidR="00785110" w:rsidRPr="00F85AD6" w:rsidRDefault="00785110" w:rsidP="009C7906">
            <w:pPr>
              <w:spacing w:before="60" w:after="60" w:line="240" w:lineRule="auto"/>
              <w:rPr>
                <w:bCs w:val="0"/>
              </w:rPr>
            </w:pPr>
          </w:p>
        </w:tc>
        <w:tc>
          <w:tcPr>
            <w:tcW w:w="815" w:type="dxa"/>
          </w:tcPr>
          <w:p w:rsidR="00785110" w:rsidRPr="00F85AD6" w:rsidRDefault="00785110" w:rsidP="009C7906">
            <w:pPr>
              <w:spacing w:before="60" w:after="60" w:line="240" w:lineRule="auto"/>
              <w:rPr>
                <w:bCs w:val="0"/>
              </w:rPr>
            </w:pPr>
          </w:p>
        </w:tc>
      </w:tr>
      <w:tr w:rsidR="00785110" w:rsidRPr="00F85AD6" w:rsidTr="00F432DD">
        <w:trPr>
          <w:cnfStyle w:val="000000100000" w:firstRow="0" w:lastRow="0" w:firstColumn="0" w:lastColumn="0" w:oddVBand="0" w:evenVBand="0" w:oddHBand="1" w:evenHBand="0" w:firstRowFirstColumn="0" w:firstRowLastColumn="0" w:lastRowFirstColumn="0" w:lastRowLastColumn="0"/>
        </w:trPr>
        <w:tc>
          <w:tcPr>
            <w:tcW w:w="775" w:type="dxa"/>
          </w:tcPr>
          <w:p w:rsidR="00785110" w:rsidRPr="00F85AD6" w:rsidRDefault="00785110" w:rsidP="005467F3">
            <w:pPr>
              <w:spacing w:line="240" w:lineRule="auto"/>
              <w:jc w:val="center"/>
            </w:pPr>
            <w:r>
              <w:t>4.5</w:t>
            </w:r>
          </w:p>
        </w:tc>
        <w:tc>
          <w:tcPr>
            <w:tcW w:w="3761" w:type="dxa"/>
          </w:tcPr>
          <w:p w:rsidR="00785110" w:rsidRPr="00F85AD6" w:rsidRDefault="00785110" w:rsidP="009C7906">
            <w:pPr>
              <w:spacing w:line="240" w:lineRule="auto"/>
            </w:pPr>
            <w:r w:rsidRPr="00785110">
              <w:t>Business process and outcome specific key performance indicators track the agency’s performance against its strategic and operational plans</w:t>
            </w:r>
          </w:p>
        </w:tc>
        <w:tc>
          <w:tcPr>
            <w:tcW w:w="2127" w:type="dxa"/>
          </w:tcPr>
          <w:p w:rsidR="00785110" w:rsidRPr="00F85AD6" w:rsidRDefault="00785110" w:rsidP="009C7906">
            <w:pPr>
              <w:spacing w:before="60" w:after="60" w:line="240" w:lineRule="auto"/>
              <w:rPr>
                <w:bCs w:val="0"/>
              </w:rPr>
            </w:pPr>
          </w:p>
        </w:tc>
        <w:tc>
          <w:tcPr>
            <w:tcW w:w="1701" w:type="dxa"/>
          </w:tcPr>
          <w:p w:rsidR="00785110" w:rsidRPr="00F85AD6" w:rsidRDefault="00785110" w:rsidP="009C7906">
            <w:pPr>
              <w:spacing w:before="60" w:after="60" w:line="240" w:lineRule="auto"/>
              <w:rPr>
                <w:bCs w:val="0"/>
              </w:rPr>
            </w:pPr>
          </w:p>
        </w:tc>
        <w:tc>
          <w:tcPr>
            <w:tcW w:w="815" w:type="dxa"/>
          </w:tcPr>
          <w:p w:rsidR="00785110" w:rsidRPr="00F85AD6" w:rsidRDefault="00785110" w:rsidP="009C7906">
            <w:pPr>
              <w:spacing w:before="60" w:after="60" w:line="240" w:lineRule="auto"/>
              <w:rPr>
                <w:bCs w:val="0"/>
              </w:rPr>
            </w:pPr>
          </w:p>
        </w:tc>
      </w:tr>
      <w:tr w:rsidR="00785110" w:rsidRPr="00F85AD6" w:rsidTr="00F432DD">
        <w:tc>
          <w:tcPr>
            <w:tcW w:w="775" w:type="dxa"/>
          </w:tcPr>
          <w:p w:rsidR="00785110" w:rsidRPr="00F85AD6" w:rsidRDefault="00785110" w:rsidP="005467F3">
            <w:pPr>
              <w:spacing w:line="240" w:lineRule="auto"/>
              <w:jc w:val="center"/>
            </w:pPr>
            <w:r>
              <w:t>4.6</w:t>
            </w:r>
          </w:p>
        </w:tc>
        <w:tc>
          <w:tcPr>
            <w:tcW w:w="3761" w:type="dxa"/>
          </w:tcPr>
          <w:p w:rsidR="00785110" w:rsidRPr="00F85AD6" w:rsidRDefault="00785110" w:rsidP="009C7906">
            <w:pPr>
              <w:spacing w:line="240" w:lineRule="auto"/>
            </w:pPr>
            <w:r w:rsidRPr="00785110">
              <w:t>Performance evaluation and audits are conducted</w:t>
            </w:r>
          </w:p>
        </w:tc>
        <w:tc>
          <w:tcPr>
            <w:tcW w:w="2127" w:type="dxa"/>
          </w:tcPr>
          <w:p w:rsidR="00785110" w:rsidRPr="00F85AD6" w:rsidRDefault="00785110" w:rsidP="009C7906">
            <w:pPr>
              <w:spacing w:before="60" w:after="60" w:line="240" w:lineRule="auto"/>
              <w:rPr>
                <w:bCs w:val="0"/>
              </w:rPr>
            </w:pPr>
          </w:p>
        </w:tc>
        <w:tc>
          <w:tcPr>
            <w:tcW w:w="1701" w:type="dxa"/>
          </w:tcPr>
          <w:p w:rsidR="00785110" w:rsidRPr="00F85AD6" w:rsidRDefault="00785110" w:rsidP="009C7906">
            <w:pPr>
              <w:spacing w:before="60" w:after="60" w:line="240" w:lineRule="auto"/>
              <w:rPr>
                <w:bCs w:val="0"/>
              </w:rPr>
            </w:pPr>
          </w:p>
        </w:tc>
        <w:tc>
          <w:tcPr>
            <w:tcW w:w="815" w:type="dxa"/>
          </w:tcPr>
          <w:p w:rsidR="00785110" w:rsidRPr="00F85AD6" w:rsidRDefault="00785110" w:rsidP="009C7906">
            <w:pPr>
              <w:spacing w:before="60" w:after="60" w:line="240" w:lineRule="auto"/>
              <w:rPr>
                <w:bCs w:val="0"/>
              </w:rPr>
            </w:pPr>
          </w:p>
        </w:tc>
      </w:tr>
      <w:tr w:rsidR="005467F3" w:rsidRPr="00F85AD6" w:rsidTr="00F432DD">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bl>
    <w:p w:rsidR="005467F3" w:rsidRPr="00F85AD6" w:rsidRDefault="005467F3" w:rsidP="005467F3">
      <w:pPr>
        <w:spacing w:before="0" w:after="0" w:line="240" w:lineRule="auto"/>
      </w:pPr>
      <w:r w:rsidRPr="00F85AD6">
        <w:br w:type="page"/>
      </w:r>
    </w:p>
    <w:p w:rsidR="005467F3" w:rsidRPr="00F85AD6" w:rsidRDefault="005467F3" w:rsidP="005467F3">
      <w:pPr>
        <w:pStyle w:val="Heading2"/>
      </w:pPr>
      <w:r w:rsidRPr="00F85AD6">
        <w:lastRenderedPageBreak/>
        <w:t>Principle 5: Ethics and integrity</w:t>
      </w:r>
    </w:p>
    <w:p w:rsidR="005467F3" w:rsidRPr="00F85AD6" w:rsidRDefault="005467F3" w:rsidP="005467F3">
      <w:r w:rsidRPr="00F85AD6">
        <w:t>Ethics and integrity are embedded in the agency’s values and operations.</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F432DD">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9C7906">
            <w:pPr>
              <w:spacing w:before="144" w:after="144" w:line="240" w:lineRule="auto"/>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r w:rsidRPr="00F85AD6">
              <w:t>Annual report reference</w:t>
            </w:r>
          </w:p>
        </w:tc>
        <w:tc>
          <w:tcPr>
            <w:tcW w:w="815" w:type="dxa"/>
          </w:tcPr>
          <w:p w:rsidR="005467F3" w:rsidRPr="00F85AD6" w:rsidRDefault="005467F3" w:rsidP="009C7906">
            <w:pPr>
              <w:spacing w:before="144" w:after="144" w:line="240" w:lineRule="auto"/>
            </w:pPr>
            <w:r w:rsidRPr="00F85AD6">
              <w:t>Meet (Y/N)</w:t>
            </w:r>
          </w:p>
        </w:tc>
      </w:tr>
      <w:tr w:rsidR="005467F3" w:rsidRPr="00F85AD6" w:rsidTr="00F432DD">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5.1</w:t>
            </w:r>
          </w:p>
        </w:tc>
        <w:tc>
          <w:tcPr>
            <w:tcW w:w="3761" w:type="dxa"/>
          </w:tcPr>
          <w:p w:rsidR="005467F3" w:rsidRPr="00F85AD6" w:rsidRDefault="005467F3" w:rsidP="009C7906">
            <w:pPr>
              <w:spacing w:line="240" w:lineRule="auto"/>
            </w:pPr>
            <w:r w:rsidRPr="00F85AD6">
              <w:t>The agency’s values and code of conduct reflect the WA Code of Ethics and define the standards of official conduct and professional behaviour expected of all employees</w:t>
            </w:r>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F432DD">
        <w:tc>
          <w:tcPr>
            <w:tcW w:w="775" w:type="dxa"/>
          </w:tcPr>
          <w:p w:rsidR="005467F3" w:rsidRPr="00F85AD6" w:rsidRDefault="005467F3" w:rsidP="005467F3">
            <w:pPr>
              <w:spacing w:line="240" w:lineRule="auto"/>
              <w:jc w:val="center"/>
            </w:pPr>
            <w:r w:rsidRPr="00F85AD6">
              <w:t>5.2</w:t>
            </w:r>
          </w:p>
        </w:tc>
        <w:tc>
          <w:tcPr>
            <w:tcW w:w="3761" w:type="dxa"/>
          </w:tcPr>
          <w:p w:rsidR="005467F3" w:rsidRPr="00F85AD6" w:rsidRDefault="005467F3" w:rsidP="009C7906">
            <w:pPr>
              <w:spacing w:line="240" w:lineRule="auto"/>
            </w:pPr>
            <w:r w:rsidRPr="00F85AD6">
              <w:t>The agency’s ethics and integrity risks are identified and policies and operational processes address them (e.g. procurement, conflict of interest)</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F432DD">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5.3</w:t>
            </w:r>
          </w:p>
        </w:tc>
        <w:tc>
          <w:tcPr>
            <w:tcW w:w="3761" w:type="dxa"/>
          </w:tcPr>
          <w:p w:rsidR="005467F3" w:rsidRPr="00F85AD6" w:rsidRDefault="005467F3" w:rsidP="009C7906">
            <w:pPr>
              <w:spacing w:line="240" w:lineRule="auto"/>
            </w:pPr>
            <w:r w:rsidRPr="00F85AD6">
              <w:t>People management frameworks define the response to unethical behaviour</w:t>
            </w:r>
            <w:r>
              <w:t>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F432DD">
        <w:tc>
          <w:tcPr>
            <w:tcW w:w="775" w:type="dxa"/>
          </w:tcPr>
          <w:p w:rsidR="005467F3" w:rsidRPr="00F85AD6" w:rsidRDefault="005467F3" w:rsidP="005467F3">
            <w:pPr>
              <w:spacing w:line="240" w:lineRule="auto"/>
              <w:jc w:val="center"/>
            </w:pPr>
            <w:r w:rsidRPr="00F85AD6">
              <w:t>5.4</w:t>
            </w:r>
          </w:p>
        </w:tc>
        <w:tc>
          <w:tcPr>
            <w:tcW w:w="3761" w:type="dxa"/>
          </w:tcPr>
          <w:p w:rsidR="005467F3" w:rsidRPr="00F85AD6" w:rsidRDefault="005467F3" w:rsidP="009C7906">
            <w:pPr>
              <w:spacing w:line="240" w:lineRule="auto"/>
            </w:pPr>
            <w:r w:rsidRPr="00F85AD6">
              <w:t>Processes are in place to provide supervision and assistance and enable follow up of non-compliance (e.g. through public interest disclosure)</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F432DD">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5.5</w:t>
            </w:r>
          </w:p>
        </w:tc>
        <w:tc>
          <w:tcPr>
            <w:tcW w:w="3761" w:type="dxa"/>
          </w:tcPr>
          <w:p w:rsidR="005467F3" w:rsidRPr="00F85AD6" w:rsidRDefault="005467F3" w:rsidP="009C7906">
            <w:pPr>
              <w:spacing w:line="240" w:lineRule="auto"/>
            </w:pPr>
            <w:bookmarkStart w:id="4" w:name="OLE_LINK12"/>
            <w:bookmarkStart w:id="5" w:name="OLE_LINK13"/>
            <w:r w:rsidRPr="00F85AD6">
              <w:t>A structured process is in place to monitor official conduct and professional behaviour (e.g. compliance audit, performance management)</w:t>
            </w:r>
            <w:bookmarkEnd w:id="4"/>
            <w:bookmarkEnd w:id="5"/>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F432DD">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bl>
    <w:p w:rsidR="005467F3" w:rsidRPr="00F85AD6" w:rsidRDefault="005467F3" w:rsidP="005467F3">
      <w:pPr>
        <w:spacing w:before="0" w:after="0" w:line="240" w:lineRule="auto"/>
      </w:pPr>
      <w:r w:rsidRPr="00F85AD6">
        <w:br w:type="page"/>
      </w:r>
    </w:p>
    <w:p w:rsidR="005467F3" w:rsidRPr="00F85AD6" w:rsidRDefault="005467F3" w:rsidP="005467F3">
      <w:pPr>
        <w:pStyle w:val="Heading2"/>
      </w:pPr>
      <w:r w:rsidRPr="00F85AD6">
        <w:lastRenderedPageBreak/>
        <w:t>Principle 6: People</w:t>
      </w:r>
    </w:p>
    <w:p w:rsidR="005467F3" w:rsidRPr="00F85AD6" w:rsidRDefault="005467F3" w:rsidP="005467F3">
      <w:r w:rsidRPr="00F85AD6">
        <w:t>The agency’s leadership in people management contributes to individual and organisational achievements.</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5467F3">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5467F3">
            <w:pPr>
              <w:spacing w:before="144" w:after="144" w:line="240" w:lineRule="auto"/>
              <w:jc w:val="center"/>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r w:rsidRPr="00F85AD6">
              <w:t>Annual report reference</w:t>
            </w:r>
          </w:p>
        </w:tc>
        <w:tc>
          <w:tcPr>
            <w:tcW w:w="815" w:type="dxa"/>
          </w:tcPr>
          <w:p w:rsidR="005467F3" w:rsidRPr="00F85AD6" w:rsidRDefault="005467F3" w:rsidP="009C7906">
            <w:pPr>
              <w:spacing w:before="144" w:after="144" w:line="240" w:lineRule="auto"/>
            </w:pPr>
            <w:r w:rsidRPr="00F85AD6">
              <w:t>Meet (Y/N)</w:t>
            </w: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6.1</w:t>
            </w:r>
          </w:p>
        </w:tc>
        <w:tc>
          <w:tcPr>
            <w:tcW w:w="3761" w:type="dxa"/>
          </w:tcPr>
          <w:p w:rsidR="005467F3" w:rsidRPr="00F85AD6" w:rsidRDefault="005467F3" w:rsidP="009C7906">
            <w:pPr>
              <w:spacing w:line="240" w:lineRule="auto"/>
            </w:pPr>
            <w:r w:rsidRPr="00F85AD6">
              <w:t>Policies enable the attraction, retention and management of people</w:t>
            </w:r>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6.2</w:t>
            </w:r>
          </w:p>
        </w:tc>
        <w:tc>
          <w:tcPr>
            <w:tcW w:w="3761" w:type="dxa"/>
          </w:tcPr>
          <w:p w:rsidR="005467F3" w:rsidRPr="00F85AD6" w:rsidRDefault="005467F3" w:rsidP="009C7906">
            <w:pPr>
              <w:spacing w:line="240" w:lineRule="auto"/>
            </w:pPr>
            <w:r w:rsidRPr="00F85AD6">
              <w:t>Plans ensure that processes, decisions and actions are based on the principles of fairness, equity and diversity, and are consistent, transparent, impartial and open for review</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6.3</w:t>
            </w:r>
          </w:p>
        </w:tc>
        <w:tc>
          <w:tcPr>
            <w:tcW w:w="3761" w:type="dxa"/>
          </w:tcPr>
          <w:p w:rsidR="005467F3" w:rsidRPr="00F85AD6" w:rsidRDefault="005467F3" w:rsidP="009C7906">
            <w:pPr>
              <w:spacing w:line="240" w:lineRule="auto"/>
            </w:pPr>
            <w:r w:rsidRPr="00F85AD6">
              <w:t>People management frameworks cover the whole employment continuum</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6.4</w:t>
            </w:r>
          </w:p>
        </w:tc>
        <w:tc>
          <w:tcPr>
            <w:tcW w:w="3761" w:type="dxa"/>
          </w:tcPr>
          <w:p w:rsidR="005467F3" w:rsidRPr="00F85AD6" w:rsidRDefault="005467F3" w:rsidP="009C7906">
            <w:pPr>
              <w:spacing w:line="240" w:lineRule="auto"/>
            </w:pPr>
            <w:r w:rsidRPr="00F85AD6">
              <w:t>Structured procedures are in place to monitor adherence to human resource policies and processes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6.5</w:t>
            </w:r>
          </w:p>
        </w:tc>
        <w:tc>
          <w:tcPr>
            <w:tcW w:w="3761" w:type="dxa"/>
          </w:tcPr>
          <w:p w:rsidR="005467F3" w:rsidRPr="00F85AD6" w:rsidRDefault="005467F3" w:rsidP="009C7906">
            <w:pPr>
              <w:spacing w:line="240" w:lineRule="auto"/>
            </w:pPr>
            <w:r w:rsidRPr="00F85AD6">
              <w:t>Feedback processes identify issues in people management practices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bl>
    <w:p w:rsidR="005467F3" w:rsidRPr="00F85AD6" w:rsidRDefault="005467F3" w:rsidP="005467F3">
      <w:pPr>
        <w:spacing w:before="0" w:after="0" w:line="240" w:lineRule="auto"/>
      </w:pPr>
      <w:r w:rsidRPr="00F85AD6">
        <w:br w:type="page"/>
      </w:r>
    </w:p>
    <w:p w:rsidR="005467F3" w:rsidRPr="00F85AD6" w:rsidRDefault="005467F3" w:rsidP="005467F3">
      <w:pPr>
        <w:pStyle w:val="Heading2"/>
      </w:pPr>
      <w:r w:rsidRPr="00F85AD6">
        <w:lastRenderedPageBreak/>
        <w:t>Principle 7: Finance</w:t>
      </w:r>
    </w:p>
    <w:p w:rsidR="005467F3" w:rsidRPr="00F85AD6" w:rsidRDefault="005467F3" w:rsidP="005467F3">
      <w:r w:rsidRPr="00F85AD6">
        <w:t>The agency safeguards financial integrity and accountability.</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5467F3">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5467F3">
            <w:pPr>
              <w:spacing w:before="144" w:after="144" w:line="240" w:lineRule="auto"/>
              <w:jc w:val="center"/>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r w:rsidRPr="00F85AD6">
              <w:t>Annual report reference</w:t>
            </w:r>
          </w:p>
        </w:tc>
        <w:tc>
          <w:tcPr>
            <w:tcW w:w="815" w:type="dxa"/>
          </w:tcPr>
          <w:p w:rsidR="005467F3" w:rsidRPr="00F85AD6" w:rsidRDefault="005467F3" w:rsidP="009C7906">
            <w:pPr>
              <w:spacing w:before="144" w:after="144" w:line="240" w:lineRule="auto"/>
            </w:pPr>
            <w:r w:rsidRPr="00F85AD6">
              <w:t>Meet (Y/N)</w:t>
            </w: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7.1</w:t>
            </w:r>
          </w:p>
        </w:tc>
        <w:tc>
          <w:tcPr>
            <w:tcW w:w="3761" w:type="dxa"/>
          </w:tcPr>
          <w:p w:rsidR="005467F3" w:rsidRPr="00F85AD6" w:rsidRDefault="005467F3" w:rsidP="009C7906">
            <w:pPr>
              <w:spacing w:line="240" w:lineRule="auto"/>
            </w:pPr>
            <w:r w:rsidRPr="00F85AD6">
              <w:t>Finance policies define the key strategic goals and outcomes for which the agency’s finances must be employed</w:t>
            </w:r>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7.2</w:t>
            </w:r>
          </w:p>
        </w:tc>
        <w:tc>
          <w:tcPr>
            <w:tcW w:w="3761" w:type="dxa"/>
          </w:tcPr>
          <w:p w:rsidR="005467F3" w:rsidRPr="00F85AD6" w:rsidRDefault="005467F3" w:rsidP="009C7906">
            <w:pPr>
              <w:spacing w:line="240" w:lineRule="auto"/>
            </w:pPr>
            <w:r w:rsidRPr="00F85AD6">
              <w:t xml:space="preserve">A formal </w:t>
            </w:r>
            <w:r>
              <w:t xml:space="preserve">internal </w:t>
            </w:r>
            <w:r w:rsidRPr="00F85AD6">
              <w:t xml:space="preserve">audit charter specifies roles and responsibilities, composition and structure of all </w:t>
            </w:r>
            <w:r>
              <w:t xml:space="preserve">internal </w:t>
            </w:r>
            <w:r w:rsidRPr="00F85AD6">
              <w:t>audit functions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7.3</w:t>
            </w:r>
          </w:p>
        </w:tc>
        <w:tc>
          <w:tcPr>
            <w:tcW w:w="3761" w:type="dxa"/>
          </w:tcPr>
          <w:p w:rsidR="005467F3" w:rsidRPr="00F85AD6" w:rsidRDefault="005467F3" w:rsidP="009C7906">
            <w:pPr>
              <w:spacing w:line="240" w:lineRule="auto"/>
            </w:pPr>
            <w:r w:rsidRPr="00F85AD6">
              <w:t>Processes ensure the proper recording of financial transactions consistent with applicable accounting standards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7.4</w:t>
            </w:r>
          </w:p>
        </w:tc>
        <w:tc>
          <w:tcPr>
            <w:tcW w:w="3761" w:type="dxa"/>
          </w:tcPr>
          <w:p w:rsidR="005467F3" w:rsidRPr="00F85AD6" w:rsidRDefault="005467F3" w:rsidP="009C7906">
            <w:pPr>
              <w:spacing w:line="240" w:lineRule="auto"/>
            </w:pPr>
            <w:r w:rsidRPr="00F85AD6">
              <w:t>Financial operations contribute towards the agency’s key strategic goals and outcomes and uphold the highest level of integrity</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7.5</w:t>
            </w:r>
          </w:p>
        </w:tc>
        <w:tc>
          <w:tcPr>
            <w:tcW w:w="3761" w:type="dxa"/>
          </w:tcPr>
          <w:p w:rsidR="005467F3" w:rsidRPr="00F85AD6" w:rsidRDefault="005467F3" w:rsidP="009C7906">
            <w:pPr>
              <w:spacing w:line="240" w:lineRule="auto"/>
            </w:pPr>
            <w:r w:rsidRPr="00F85AD6">
              <w:t>Structured processes are in place to monitor and audit financial performance against budget and key strategic goals, both at executive level as well as by an independent audit committee</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bl>
    <w:p w:rsidR="005467F3" w:rsidRPr="00F85AD6" w:rsidRDefault="005467F3" w:rsidP="005467F3">
      <w:pPr>
        <w:spacing w:before="0" w:after="0" w:line="240" w:lineRule="auto"/>
      </w:pPr>
      <w:r w:rsidRPr="00F85AD6">
        <w:br w:type="page"/>
      </w:r>
    </w:p>
    <w:p w:rsidR="005467F3" w:rsidRPr="00F85AD6" w:rsidRDefault="005467F3" w:rsidP="005467F3">
      <w:pPr>
        <w:pStyle w:val="Heading2"/>
      </w:pPr>
      <w:r w:rsidRPr="00F85AD6">
        <w:lastRenderedPageBreak/>
        <w:t>Principle 8: Communication</w:t>
      </w:r>
    </w:p>
    <w:p w:rsidR="005467F3" w:rsidRPr="00F85AD6" w:rsidRDefault="005467F3" w:rsidP="005467F3">
      <w:r w:rsidRPr="00F85AD6">
        <w:t xml:space="preserve">The agency </w:t>
      </w:r>
      <w:r>
        <w:t>communicates with all parties in a way that is accessible, open and responsive.</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5467F3">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5467F3">
            <w:pPr>
              <w:spacing w:before="144" w:after="144" w:line="240" w:lineRule="auto"/>
              <w:jc w:val="center"/>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r w:rsidRPr="00F85AD6">
              <w:t>Annual report reference</w:t>
            </w:r>
          </w:p>
        </w:tc>
        <w:tc>
          <w:tcPr>
            <w:tcW w:w="815" w:type="dxa"/>
          </w:tcPr>
          <w:p w:rsidR="005467F3" w:rsidRPr="00F85AD6" w:rsidRDefault="005467F3" w:rsidP="009C7906">
            <w:pPr>
              <w:spacing w:before="144" w:after="144" w:line="240" w:lineRule="auto"/>
            </w:pPr>
            <w:r w:rsidRPr="00F85AD6">
              <w:t>Meet (Y/N)</w:t>
            </w: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8.1</w:t>
            </w:r>
          </w:p>
        </w:tc>
        <w:tc>
          <w:tcPr>
            <w:tcW w:w="3761" w:type="dxa"/>
          </w:tcPr>
          <w:p w:rsidR="005467F3" w:rsidRPr="00F85AD6" w:rsidRDefault="005467F3" w:rsidP="009C7906">
            <w:pPr>
              <w:spacing w:line="240" w:lineRule="auto"/>
            </w:pPr>
            <w:r w:rsidRPr="00F85AD6">
              <w:t xml:space="preserve">Communication policies ensure the agency’s communication is open, accessible and responsive </w:t>
            </w:r>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8.2</w:t>
            </w:r>
          </w:p>
        </w:tc>
        <w:tc>
          <w:tcPr>
            <w:tcW w:w="3761" w:type="dxa"/>
          </w:tcPr>
          <w:p w:rsidR="005467F3" w:rsidRPr="00F85AD6" w:rsidRDefault="005467F3" w:rsidP="009C7906">
            <w:pPr>
              <w:spacing w:line="240" w:lineRule="auto"/>
            </w:pPr>
            <w:r w:rsidRPr="00F85AD6">
              <w:t>Policies ensure information is disseminated through correct channels, in a timely manner and to the right target group</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8.3</w:t>
            </w:r>
          </w:p>
        </w:tc>
        <w:tc>
          <w:tcPr>
            <w:tcW w:w="3761" w:type="dxa"/>
          </w:tcPr>
          <w:p w:rsidR="005467F3" w:rsidRPr="00F85AD6" w:rsidRDefault="005467F3" w:rsidP="009C7906">
            <w:pPr>
              <w:spacing w:line="240" w:lineRule="auto"/>
            </w:pPr>
            <w:r w:rsidRPr="00F85AD6">
              <w:t xml:space="preserve">Processes ensure proactive, transparent and responsive internal and external communication </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8.4</w:t>
            </w:r>
          </w:p>
        </w:tc>
        <w:tc>
          <w:tcPr>
            <w:tcW w:w="3761" w:type="dxa"/>
          </w:tcPr>
          <w:p w:rsidR="005467F3" w:rsidRPr="00F85AD6" w:rsidRDefault="005467F3" w:rsidP="009C7906">
            <w:pPr>
              <w:spacing w:line="240" w:lineRule="auto"/>
            </w:pPr>
            <w:r w:rsidRPr="00F85AD6">
              <w:t>Processes assist in complying with legislation on record keeping, public interest disclosure and freedom of information, in safeguarding the confidentiality and integrity of information, and in preventing unauthorised, false or premature disclosure</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785110"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785110" w:rsidRPr="00F85AD6" w:rsidRDefault="00785110" w:rsidP="005467F3">
            <w:pPr>
              <w:spacing w:line="240" w:lineRule="auto"/>
              <w:jc w:val="center"/>
            </w:pPr>
            <w:r>
              <w:t>8.5</w:t>
            </w:r>
          </w:p>
        </w:tc>
        <w:tc>
          <w:tcPr>
            <w:tcW w:w="3761" w:type="dxa"/>
          </w:tcPr>
          <w:p w:rsidR="00785110" w:rsidRPr="00F85AD6" w:rsidRDefault="00785110" w:rsidP="009C7906">
            <w:pPr>
              <w:spacing w:line="240" w:lineRule="auto"/>
            </w:pPr>
            <w:r w:rsidRPr="00785110">
              <w:t>An audit strategy exists to monitor compliance with communication policies and strategies</w:t>
            </w:r>
            <w:bookmarkStart w:id="6" w:name="_GoBack"/>
            <w:bookmarkEnd w:id="6"/>
          </w:p>
        </w:tc>
        <w:tc>
          <w:tcPr>
            <w:tcW w:w="2127" w:type="dxa"/>
          </w:tcPr>
          <w:p w:rsidR="00785110" w:rsidRPr="00F85AD6" w:rsidRDefault="00785110" w:rsidP="009C7906">
            <w:pPr>
              <w:spacing w:before="60" w:after="60" w:line="240" w:lineRule="auto"/>
              <w:rPr>
                <w:bCs w:val="0"/>
              </w:rPr>
            </w:pPr>
          </w:p>
        </w:tc>
        <w:tc>
          <w:tcPr>
            <w:tcW w:w="1701" w:type="dxa"/>
          </w:tcPr>
          <w:p w:rsidR="00785110" w:rsidRPr="00F85AD6" w:rsidRDefault="00785110" w:rsidP="009C7906">
            <w:pPr>
              <w:spacing w:before="60" w:after="60" w:line="240" w:lineRule="auto"/>
              <w:rPr>
                <w:bCs w:val="0"/>
              </w:rPr>
            </w:pPr>
          </w:p>
        </w:tc>
        <w:tc>
          <w:tcPr>
            <w:tcW w:w="815" w:type="dxa"/>
          </w:tcPr>
          <w:p w:rsidR="00785110" w:rsidRPr="00F85AD6" w:rsidRDefault="00785110"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56260D" w:rsidRDefault="005467F3" w:rsidP="009C7906">
            <w:pPr>
              <w:spacing w:line="240" w:lineRule="auto"/>
            </w:pPr>
          </w:p>
        </w:tc>
        <w:tc>
          <w:tcPr>
            <w:tcW w:w="1701" w:type="dxa"/>
          </w:tcPr>
          <w:p w:rsidR="005467F3" w:rsidRPr="0056260D" w:rsidRDefault="005467F3" w:rsidP="009C7906">
            <w:pPr>
              <w:spacing w:line="240" w:lineRule="auto"/>
            </w:pPr>
          </w:p>
        </w:tc>
        <w:tc>
          <w:tcPr>
            <w:tcW w:w="815" w:type="dxa"/>
          </w:tcPr>
          <w:p w:rsidR="005467F3" w:rsidRPr="0056260D" w:rsidRDefault="005467F3" w:rsidP="009C7906">
            <w:pPr>
              <w:spacing w:line="240" w:lineRule="auto"/>
            </w:pPr>
          </w:p>
        </w:tc>
      </w:tr>
    </w:tbl>
    <w:p w:rsidR="005467F3" w:rsidRPr="00F85AD6" w:rsidRDefault="005467F3" w:rsidP="005467F3">
      <w:pPr>
        <w:spacing w:before="0" w:after="0" w:line="240" w:lineRule="auto"/>
      </w:pPr>
      <w:r w:rsidRPr="00F85AD6">
        <w:br w:type="page"/>
      </w:r>
    </w:p>
    <w:p w:rsidR="005467F3" w:rsidRPr="00F85AD6" w:rsidRDefault="005467F3" w:rsidP="005467F3">
      <w:pPr>
        <w:pStyle w:val="Heading2"/>
      </w:pPr>
      <w:r w:rsidRPr="00F85AD6">
        <w:lastRenderedPageBreak/>
        <w:t>Principle 9: Risk management</w:t>
      </w:r>
    </w:p>
    <w:p w:rsidR="005467F3" w:rsidRPr="00F85AD6" w:rsidRDefault="005467F3" w:rsidP="005467F3">
      <w:r w:rsidRPr="00F85AD6">
        <w:t>The agency identifies and manages its risks.</w:t>
      </w:r>
    </w:p>
    <w:tbl>
      <w:tblPr>
        <w:tblStyle w:val="TableColumn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14"/>
        <w:gridCol w:w="3761"/>
        <w:gridCol w:w="2127"/>
        <w:gridCol w:w="1701"/>
        <w:gridCol w:w="815"/>
      </w:tblGrid>
      <w:tr w:rsidR="005467F3" w:rsidRPr="00F85AD6" w:rsidTr="005467F3">
        <w:trPr>
          <w:cnfStyle w:val="100000000000" w:firstRow="1" w:lastRow="0" w:firstColumn="0" w:lastColumn="0" w:oddVBand="0" w:evenVBand="0" w:oddHBand="0" w:evenHBand="0" w:firstRowFirstColumn="0" w:firstRowLastColumn="0" w:lastRowFirstColumn="0" w:lastRowLastColumn="0"/>
        </w:trPr>
        <w:tc>
          <w:tcPr>
            <w:tcW w:w="775" w:type="dxa"/>
          </w:tcPr>
          <w:p w:rsidR="005467F3" w:rsidRPr="00F85AD6" w:rsidRDefault="005467F3" w:rsidP="005467F3">
            <w:pPr>
              <w:spacing w:before="144" w:after="144" w:line="240" w:lineRule="auto"/>
              <w:jc w:val="center"/>
            </w:pPr>
          </w:p>
        </w:tc>
        <w:tc>
          <w:tcPr>
            <w:tcW w:w="3761" w:type="dxa"/>
          </w:tcPr>
          <w:p w:rsidR="005467F3" w:rsidRPr="00F85AD6" w:rsidRDefault="005467F3" w:rsidP="009C7906">
            <w:pPr>
              <w:spacing w:before="144" w:after="144" w:line="240" w:lineRule="auto"/>
            </w:pPr>
            <w:r w:rsidRPr="00F85AD6">
              <w:t>Operational element</w:t>
            </w:r>
          </w:p>
        </w:tc>
        <w:tc>
          <w:tcPr>
            <w:tcW w:w="2127" w:type="dxa"/>
          </w:tcPr>
          <w:p w:rsidR="005467F3" w:rsidRPr="00F85AD6" w:rsidRDefault="005467F3" w:rsidP="009C7906">
            <w:pPr>
              <w:spacing w:before="144" w:after="144" w:line="240" w:lineRule="auto"/>
            </w:pPr>
            <w:r w:rsidRPr="00F85AD6">
              <w:t>Applicable policy/ other document</w:t>
            </w:r>
          </w:p>
        </w:tc>
        <w:tc>
          <w:tcPr>
            <w:tcW w:w="1701" w:type="dxa"/>
          </w:tcPr>
          <w:p w:rsidR="005467F3" w:rsidRPr="00F85AD6" w:rsidRDefault="005467F3" w:rsidP="009C7906">
            <w:pPr>
              <w:spacing w:before="144" w:after="144" w:line="240" w:lineRule="auto"/>
            </w:pPr>
            <w:r w:rsidRPr="00F85AD6">
              <w:t>Annual report reference</w:t>
            </w:r>
          </w:p>
        </w:tc>
        <w:tc>
          <w:tcPr>
            <w:tcW w:w="815" w:type="dxa"/>
          </w:tcPr>
          <w:p w:rsidR="005467F3" w:rsidRPr="00F85AD6" w:rsidRDefault="005467F3" w:rsidP="009C7906">
            <w:pPr>
              <w:spacing w:before="144" w:after="144" w:line="240" w:lineRule="auto"/>
            </w:pPr>
            <w:r w:rsidRPr="00F85AD6">
              <w:t>Meet (Y/N)</w:t>
            </w: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9.1</w:t>
            </w:r>
          </w:p>
        </w:tc>
        <w:tc>
          <w:tcPr>
            <w:tcW w:w="3761" w:type="dxa"/>
          </w:tcPr>
          <w:p w:rsidR="005467F3" w:rsidRPr="00F85AD6" w:rsidRDefault="005467F3" w:rsidP="009C7906">
            <w:pPr>
              <w:spacing w:line="240" w:lineRule="auto"/>
            </w:pPr>
            <w:bookmarkStart w:id="7" w:name="OLE_LINK10"/>
            <w:bookmarkStart w:id="8" w:name="OLE_LINK11"/>
            <w:r w:rsidRPr="00F85AD6">
              <w:t>Policies exist for the governance and management of material risks (e.g. reputational, financial or physical, including occupational safety and health)</w:t>
            </w:r>
            <w:bookmarkEnd w:id="7"/>
            <w:bookmarkEnd w:id="8"/>
          </w:p>
        </w:tc>
        <w:tc>
          <w:tcPr>
            <w:tcW w:w="2127" w:type="dxa"/>
          </w:tcPr>
          <w:p w:rsidR="005467F3" w:rsidRPr="00F85AD6" w:rsidRDefault="005467F3" w:rsidP="009C7906">
            <w:pPr>
              <w:pStyle w:val="TableText"/>
              <w:spacing w:line="240" w:lineRule="auto"/>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9.2</w:t>
            </w:r>
          </w:p>
        </w:tc>
        <w:tc>
          <w:tcPr>
            <w:tcW w:w="3761" w:type="dxa"/>
          </w:tcPr>
          <w:p w:rsidR="005467F3" w:rsidRPr="00F85AD6" w:rsidRDefault="005467F3" w:rsidP="009C7906">
            <w:pPr>
              <w:spacing w:line="240" w:lineRule="auto"/>
            </w:pPr>
            <w:r w:rsidRPr="00F85AD6">
              <w:t>The agency’s risk exposure is evaluated and remediation plans are implemented</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9.3</w:t>
            </w:r>
          </w:p>
        </w:tc>
        <w:tc>
          <w:tcPr>
            <w:tcW w:w="3761" w:type="dxa"/>
          </w:tcPr>
          <w:p w:rsidR="005467F3" w:rsidRPr="00F85AD6" w:rsidRDefault="005467F3" w:rsidP="009C7906">
            <w:pPr>
              <w:spacing w:line="240" w:lineRule="auto"/>
            </w:pPr>
            <w:r w:rsidRPr="00F85AD6">
              <w:t>Preventive measures for key risk categories are in place</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c>
          <w:tcPr>
            <w:tcW w:w="775" w:type="dxa"/>
          </w:tcPr>
          <w:p w:rsidR="005467F3" w:rsidRPr="00F85AD6" w:rsidRDefault="005467F3" w:rsidP="005467F3">
            <w:pPr>
              <w:spacing w:line="240" w:lineRule="auto"/>
              <w:jc w:val="center"/>
            </w:pPr>
            <w:r w:rsidRPr="00F85AD6">
              <w:t>9.4</w:t>
            </w:r>
          </w:p>
        </w:tc>
        <w:tc>
          <w:tcPr>
            <w:tcW w:w="3761" w:type="dxa"/>
          </w:tcPr>
          <w:p w:rsidR="005467F3" w:rsidRPr="00F85AD6" w:rsidRDefault="005467F3" w:rsidP="009C7906">
            <w:pPr>
              <w:spacing w:line="240" w:lineRule="auto"/>
            </w:pPr>
            <w:r w:rsidRPr="00F85AD6">
              <w:t>Procedures are in place to monitor incidents from the identified risk categories (data analysis)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r w:rsidR="005467F3" w:rsidRPr="00F85AD6" w:rsidTr="005467F3">
        <w:trPr>
          <w:cnfStyle w:val="000000100000" w:firstRow="0" w:lastRow="0" w:firstColumn="0" w:lastColumn="0" w:oddVBand="0" w:evenVBand="0" w:oddHBand="1" w:evenHBand="0" w:firstRowFirstColumn="0" w:firstRowLastColumn="0" w:lastRowFirstColumn="0" w:lastRowLastColumn="0"/>
        </w:trPr>
        <w:tc>
          <w:tcPr>
            <w:tcW w:w="775" w:type="dxa"/>
          </w:tcPr>
          <w:p w:rsidR="005467F3" w:rsidRPr="00F85AD6" w:rsidRDefault="005467F3" w:rsidP="005467F3">
            <w:pPr>
              <w:spacing w:line="240" w:lineRule="auto"/>
              <w:jc w:val="center"/>
            </w:pPr>
            <w:r w:rsidRPr="00F85AD6">
              <w:t>Reporting</w:t>
            </w:r>
          </w:p>
        </w:tc>
        <w:tc>
          <w:tcPr>
            <w:tcW w:w="3761" w:type="dxa"/>
          </w:tcPr>
          <w:p w:rsidR="005467F3" w:rsidRPr="00F85AD6" w:rsidRDefault="005467F3" w:rsidP="009C7906">
            <w:pPr>
              <w:spacing w:line="240" w:lineRule="auto"/>
            </w:pPr>
            <w:r w:rsidRPr="00F85AD6">
              <w:t>The agency’s annual report identifies compliance levels against the relevant standards</w:t>
            </w:r>
          </w:p>
          <w:p w:rsidR="005467F3" w:rsidRPr="00F85AD6" w:rsidRDefault="005467F3" w:rsidP="009C7906">
            <w:pPr>
              <w:spacing w:line="240" w:lineRule="auto"/>
            </w:pPr>
            <w:r w:rsidRPr="00F85AD6">
              <w:t>Annual compliance reporting addresses compliance with WA's requirements for good governance</w:t>
            </w:r>
          </w:p>
          <w:p w:rsidR="005467F3" w:rsidRPr="00F85AD6" w:rsidRDefault="005467F3" w:rsidP="009C7906">
            <w:pPr>
              <w:spacing w:line="240" w:lineRule="auto"/>
            </w:pPr>
            <w:r w:rsidRPr="00F85AD6">
              <w:t>All material matters are reported to the relevant oversight bodies</w:t>
            </w:r>
          </w:p>
        </w:tc>
        <w:tc>
          <w:tcPr>
            <w:tcW w:w="2127" w:type="dxa"/>
          </w:tcPr>
          <w:p w:rsidR="005467F3" w:rsidRPr="00F85AD6" w:rsidRDefault="005467F3" w:rsidP="009C7906">
            <w:pPr>
              <w:spacing w:before="60" w:after="60" w:line="240" w:lineRule="auto"/>
              <w:rPr>
                <w:bCs w:val="0"/>
              </w:rPr>
            </w:pPr>
          </w:p>
        </w:tc>
        <w:tc>
          <w:tcPr>
            <w:tcW w:w="1701" w:type="dxa"/>
          </w:tcPr>
          <w:p w:rsidR="005467F3" w:rsidRPr="00F85AD6" w:rsidRDefault="005467F3" w:rsidP="009C7906">
            <w:pPr>
              <w:spacing w:before="60" w:after="60" w:line="240" w:lineRule="auto"/>
              <w:rPr>
                <w:bCs w:val="0"/>
              </w:rPr>
            </w:pPr>
          </w:p>
        </w:tc>
        <w:tc>
          <w:tcPr>
            <w:tcW w:w="815" w:type="dxa"/>
          </w:tcPr>
          <w:p w:rsidR="005467F3" w:rsidRPr="00F85AD6" w:rsidRDefault="005467F3" w:rsidP="009C7906">
            <w:pPr>
              <w:spacing w:before="60" w:after="60" w:line="240" w:lineRule="auto"/>
              <w:rPr>
                <w:bCs w:val="0"/>
              </w:rPr>
            </w:pPr>
          </w:p>
        </w:tc>
      </w:tr>
    </w:tbl>
    <w:p w:rsidR="005467F3" w:rsidRPr="00F85AD6" w:rsidRDefault="005467F3" w:rsidP="005467F3"/>
    <w:p w:rsidR="0028077B" w:rsidRPr="005467F3" w:rsidRDefault="0028077B" w:rsidP="005467F3"/>
    <w:sectPr w:rsidR="0028077B" w:rsidRPr="005467F3" w:rsidSect="00091880">
      <w:headerReference w:type="even" r:id="rId11"/>
      <w:footerReference w:type="even" r:id="rId12"/>
      <w:footerReference w:type="default" r:id="rId13"/>
      <w:headerReference w:type="first" r:id="rId14"/>
      <w:footerReference w:type="first" r:id="rId15"/>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A7A" w:rsidRDefault="00730A7A" w:rsidP="00F74F80">
      <w:r>
        <w:separator/>
      </w:r>
    </w:p>
  </w:endnote>
  <w:endnote w:type="continuationSeparator" w:id="0">
    <w:p w:rsidR="00730A7A" w:rsidRDefault="00730A7A"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785110">
      <w:rPr>
        <w:noProof/>
      </w:rPr>
      <w:t>10</w:t>
    </w:r>
    <w:r>
      <w:rPr>
        <w:noProof/>
      </w:rPr>
      <w:fldChar w:fldCharType="end"/>
    </w:r>
    <w:r w:rsidRPr="003D1360">
      <w:t xml:space="preserve"> of </w:t>
    </w:r>
    <w:r>
      <w:fldChar w:fldCharType="begin"/>
    </w:r>
    <w:r>
      <w:instrText xml:space="preserve"> NUMPAGES </w:instrText>
    </w:r>
    <w:r>
      <w:fldChar w:fldCharType="separate"/>
    </w:r>
    <w:r w:rsidR="00785110">
      <w:rPr>
        <w:noProof/>
      </w:rPr>
      <w:t>10</w:t>
    </w:r>
    <w:r>
      <w:rPr>
        <w:noProof/>
      </w:rPr>
      <w:fldChar w:fldCharType="end"/>
    </w:r>
    <w:r>
      <w:rPr>
        <w:noProof/>
      </w:rPr>
      <w:t xml:space="preserve"> </w:t>
    </w:r>
    <w:r>
      <w:rPr>
        <w:noProof/>
      </w:rPr>
      <w:tab/>
    </w:r>
    <w:r w:rsidR="005467F3" w:rsidRPr="005467F3">
      <w:rPr>
        <w:noProof/>
      </w:rPr>
      <w:t>Good governance guide for public sector agencies - Checklist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785110">
      <w:rPr>
        <w:noProof/>
      </w:rPr>
      <w:t>1</w:t>
    </w:r>
    <w:r>
      <w:rPr>
        <w:noProof/>
      </w:rPr>
      <w:fldChar w:fldCharType="end"/>
    </w:r>
    <w:r w:rsidRPr="003D1360">
      <w:t xml:space="preserve"> of </w:t>
    </w:r>
    <w:r>
      <w:fldChar w:fldCharType="begin"/>
    </w:r>
    <w:r>
      <w:instrText xml:space="preserve"> NUMPAGES </w:instrText>
    </w:r>
    <w:r>
      <w:fldChar w:fldCharType="separate"/>
    </w:r>
    <w:r w:rsidR="00785110">
      <w:rPr>
        <w:noProof/>
      </w:rPr>
      <w:t>10</w:t>
    </w:r>
    <w:r>
      <w:rPr>
        <w:noProof/>
      </w:rPr>
      <w:fldChar w:fldCharType="end"/>
    </w:r>
    <w:r>
      <w:rPr>
        <w:noProof/>
      </w:rPr>
      <w:t xml:space="preserve"> </w:t>
    </w:r>
    <w:r>
      <w:rPr>
        <w:noProof/>
      </w:rPr>
      <w:tab/>
    </w:r>
    <w:r w:rsidR="005467F3" w:rsidRPr="005467F3">
      <w:rPr>
        <w:noProof/>
      </w:rPr>
      <w:t>Good governance guide for public sector agencies</w:t>
    </w:r>
    <w:r w:rsidR="0028077B">
      <w:t xml:space="preserve"> -</w:t>
    </w:r>
    <w:r w:rsidR="00F44F2B">
      <w:t xml:space="preserve"> </w:t>
    </w:r>
    <w:r w:rsidR="005467F3" w:rsidRPr="005467F3">
      <w:rPr>
        <w:noProof/>
      </w:rPr>
      <w:t>Checklist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A7A" w:rsidRDefault="00730A7A" w:rsidP="00F74F80">
      <w:r>
        <w:separator/>
      </w:r>
    </w:p>
  </w:footnote>
  <w:footnote w:type="continuationSeparator" w:id="0">
    <w:p w:rsidR="00730A7A" w:rsidRDefault="00730A7A"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F11574"/>
    <w:multiLevelType w:val="hybridMultilevel"/>
    <w:tmpl w:val="4E989AF6"/>
    <w:lvl w:ilvl="0" w:tplc="6DF616BC">
      <w:start w:val="1"/>
      <w:numFmt w:val="bullet"/>
      <w:pStyle w:val="BulletList"/>
      <w:lvlText w:val=""/>
      <w:lvlJc w:val="left"/>
      <w:pPr>
        <w:ind w:left="1440" w:hanging="72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EA353D"/>
    <w:multiLevelType w:val="multilevel"/>
    <w:tmpl w:val="DB3409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3"/>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6"/>
  </w:num>
  <w:num w:numId="17">
    <w:abstractNumId w:val="16"/>
  </w:num>
  <w:num w:numId="18">
    <w:abstractNumId w:val="30"/>
  </w:num>
  <w:num w:numId="19">
    <w:abstractNumId w:val="21"/>
  </w:num>
  <w:num w:numId="20">
    <w:abstractNumId w:val="11"/>
  </w:num>
  <w:num w:numId="21">
    <w:abstractNumId w:val="27"/>
  </w:num>
  <w:num w:numId="22">
    <w:abstractNumId w:val="13"/>
  </w:num>
  <w:num w:numId="23">
    <w:abstractNumId w:val="10"/>
  </w:num>
  <w:num w:numId="24">
    <w:abstractNumId w:val="17"/>
  </w:num>
  <w:num w:numId="25">
    <w:abstractNumId w:val="14"/>
  </w:num>
  <w:num w:numId="26">
    <w:abstractNumId w:val="25"/>
  </w:num>
  <w:num w:numId="27">
    <w:abstractNumId w:val="20"/>
  </w:num>
  <w:num w:numId="28">
    <w:abstractNumId w:val="24"/>
  </w:num>
  <w:num w:numId="29">
    <w:abstractNumId w:val="29"/>
  </w:num>
  <w:num w:numId="30">
    <w:abstractNumId w:val="28"/>
  </w:num>
  <w:num w:numId="31">
    <w:abstractNumId w:val="22"/>
  </w:num>
  <w:num w:numId="32">
    <w:abstractNumId w:val="26"/>
  </w:num>
  <w:num w:numId="33">
    <w:abstractNumId w:val="26"/>
  </w:num>
  <w:num w:numId="34">
    <w:abstractNumId w:val="26"/>
  </w:num>
  <w:num w:numId="35">
    <w:abstractNumId w:val="26"/>
  </w:num>
  <w:num w:numId="36">
    <w:abstractNumId w:val="1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37DF3"/>
    <w:rsid w:val="003548FA"/>
    <w:rsid w:val="003556A0"/>
    <w:rsid w:val="00362DD7"/>
    <w:rsid w:val="003641FF"/>
    <w:rsid w:val="00367309"/>
    <w:rsid w:val="00375E13"/>
    <w:rsid w:val="0038688B"/>
    <w:rsid w:val="00387CB9"/>
    <w:rsid w:val="00390A0C"/>
    <w:rsid w:val="0039148C"/>
    <w:rsid w:val="0039377C"/>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C85"/>
    <w:rsid w:val="00536C3D"/>
    <w:rsid w:val="00541CD2"/>
    <w:rsid w:val="0054251A"/>
    <w:rsid w:val="00543FDC"/>
    <w:rsid w:val="005460B5"/>
    <w:rsid w:val="005467F3"/>
    <w:rsid w:val="00546AE5"/>
    <w:rsid w:val="00550A88"/>
    <w:rsid w:val="00555B3F"/>
    <w:rsid w:val="00561C21"/>
    <w:rsid w:val="005659E0"/>
    <w:rsid w:val="00574B44"/>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0A7A"/>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85110"/>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4EA1"/>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612A"/>
    <w:rsid w:val="009452B4"/>
    <w:rsid w:val="00952427"/>
    <w:rsid w:val="00954FCD"/>
    <w:rsid w:val="00967979"/>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46011"/>
    <w:rsid w:val="00A529C6"/>
    <w:rsid w:val="00A67AB9"/>
    <w:rsid w:val="00A74344"/>
    <w:rsid w:val="00A75DD3"/>
    <w:rsid w:val="00A834F3"/>
    <w:rsid w:val="00A8506D"/>
    <w:rsid w:val="00A97017"/>
    <w:rsid w:val="00A97349"/>
    <w:rsid w:val="00A97DF2"/>
    <w:rsid w:val="00AA095D"/>
    <w:rsid w:val="00AA14E3"/>
    <w:rsid w:val="00AA4662"/>
    <w:rsid w:val="00AA7426"/>
    <w:rsid w:val="00AC1ED9"/>
    <w:rsid w:val="00AC1F4E"/>
    <w:rsid w:val="00AC4051"/>
    <w:rsid w:val="00AC555C"/>
    <w:rsid w:val="00AC7021"/>
    <w:rsid w:val="00AD50C0"/>
    <w:rsid w:val="00AE13D5"/>
    <w:rsid w:val="00AF51FC"/>
    <w:rsid w:val="00B0128F"/>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9AE"/>
    <w:rsid w:val="00B96343"/>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757D"/>
    <w:rsid w:val="00CC1F9B"/>
    <w:rsid w:val="00CC2587"/>
    <w:rsid w:val="00CC3BA9"/>
    <w:rsid w:val="00CC3D05"/>
    <w:rsid w:val="00CC7348"/>
    <w:rsid w:val="00CD3C86"/>
    <w:rsid w:val="00CD724A"/>
    <w:rsid w:val="00CE2348"/>
    <w:rsid w:val="00CE263C"/>
    <w:rsid w:val="00CE3E44"/>
    <w:rsid w:val="00CF0EBF"/>
    <w:rsid w:val="00CF1311"/>
    <w:rsid w:val="00CF562A"/>
    <w:rsid w:val="00D03CBC"/>
    <w:rsid w:val="00D05770"/>
    <w:rsid w:val="00D07401"/>
    <w:rsid w:val="00D1280E"/>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60528"/>
    <w:rsid w:val="00E60DB7"/>
    <w:rsid w:val="00E612C0"/>
    <w:rsid w:val="00E6341F"/>
    <w:rsid w:val="00E70804"/>
    <w:rsid w:val="00E747C5"/>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32DD"/>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A9D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7F3"/>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ind w:left="425" w:hanging="425"/>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 w:type="paragraph" w:customStyle="1" w:styleId="TableText">
    <w:name w:val="Table Text"/>
    <w:basedOn w:val="Normal"/>
    <w:qFormat/>
    <w:rsid w:val="005467F3"/>
    <w:pPr>
      <w:spacing w:before="60" w:after="6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7E53F-8CD5-42BC-83D6-3BA3B2FC20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4.xml><?xml version="1.0" encoding="utf-8"?>
<ds:datastoreItem xmlns:ds="http://schemas.openxmlformats.org/officeDocument/2006/customXml" ds:itemID="{58D504D6-CD9B-4A6B-94D5-007081D5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10</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2020-07-23T03:16:00Z</dcterms:created>
  <dcterms:modified xsi:type="dcterms:W3CDTF">2020-07-23T03:16:00Z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379463283</vt:i4>
  </property>
  <property fmtid="{D5CDD505-2E9C-101B-9397-08002B2CF9AE}" pid="4" name="_NewReviewCycle">
    <vt:lpwstr/>
  </property>
  <property fmtid="{D5CDD505-2E9C-101B-9397-08002B2CF9AE}" pid="5" name="_PreviousAdHocReviewCycleID">
    <vt:i4>-1964038884</vt:i4>
  </property>
  <property fmtid="{D5CDD505-2E9C-101B-9397-08002B2CF9AE}" pid="6" name="_ReviewingToolsShownOnce">
    <vt:lpwstr/>
  </property>
</Properties>
</file>