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BCF" w:rsidRDefault="000D3BCF" w:rsidP="000D3BCF">
      <w:pPr>
        <w:spacing w:line="240" w:lineRule="auto"/>
        <w:jc w:val="center"/>
        <w:rPr>
          <w:rFonts w:ascii="Arial-BoldMT" w:hAnsi="Arial-BoldMT" w:cs="Arial-BoldMT"/>
          <w:b/>
          <w:bCs/>
          <w:color w:val="00476C"/>
          <w:sz w:val="100"/>
          <w:szCs w:val="100"/>
        </w:rPr>
      </w:pPr>
      <w:bookmarkStart w:id="0" w:name="_GoBack"/>
      <w:bookmarkEnd w:id="0"/>
    </w:p>
    <w:p w:rsidR="000D3BCF" w:rsidRDefault="000D3BCF" w:rsidP="000D3BCF">
      <w:pPr>
        <w:spacing w:line="240" w:lineRule="auto"/>
        <w:jc w:val="center"/>
        <w:rPr>
          <w:rFonts w:ascii="Arial-BoldMT" w:hAnsi="Arial-BoldMT" w:cs="Arial-BoldMT"/>
          <w:b/>
          <w:bCs/>
          <w:color w:val="00476C"/>
          <w:sz w:val="100"/>
          <w:szCs w:val="100"/>
        </w:rPr>
      </w:pPr>
    </w:p>
    <w:p w:rsidR="000D3BCF" w:rsidRDefault="000D3BCF" w:rsidP="000D3BCF">
      <w:pPr>
        <w:spacing w:line="240" w:lineRule="auto"/>
        <w:jc w:val="center"/>
        <w:rPr>
          <w:rFonts w:ascii="Arial-BoldMT" w:hAnsi="Arial-BoldMT" w:cs="Arial-BoldMT"/>
          <w:b/>
          <w:bCs/>
          <w:color w:val="00476C"/>
          <w:sz w:val="100"/>
          <w:szCs w:val="100"/>
        </w:rPr>
      </w:pPr>
      <w:r>
        <w:rPr>
          <w:rFonts w:ascii="Arial-BoldMT" w:hAnsi="Arial-BoldMT" w:cs="Arial-BoldMT"/>
          <w:b/>
          <w:bCs/>
          <w:color w:val="00476C"/>
          <w:sz w:val="100"/>
          <w:szCs w:val="100"/>
        </w:rPr>
        <w:t xml:space="preserve">The South West Native Title Settlement </w:t>
      </w:r>
    </w:p>
    <w:p w:rsidR="000D3BCF" w:rsidRDefault="000D3BCF" w:rsidP="000D3BCF">
      <w:pPr>
        <w:spacing w:after="0" w:line="240" w:lineRule="auto"/>
        <w:rPr>
          <w:rFonts w:cs="Arial"/>
          <w:iCs/>
        </w:rPr>
      </w:pPr>
    </w:p>
    <w:p w:rsidR="000D3BCF" w:rsidRDefault="000D3BCF" w:rsidP="000D3BCF">
      <w:pPr>
        <w:spacing w:after="0" w:line="240" w:lineRule="auto"/>
        <w:jc w:val="center"/>
        <w:rPr>
          <w:rFonts w:cs="Arial"/>
          <w:iCs/>
        </w:rPr>
      </w:pPr>
    </w:p>
    <w:p w:rsidR="000D3BCF" w:rsidRDefault="000D3BCF" w:rsidP="000D3BCF">
      <w:pPr>
        <w:spacing w:after="0" w:line="240" w:lineRule="auto"/>
        <w:jc w:val="center"/>
        <w:rPr>
          <w:rFonts w:cs="Arial"/>
          <w:iCs/>
        </w:rPr>
      </w:pPr>
    </w:p>
    <w:p w:rsidR="000D3BCF" w:rsidRDefault="000D3BCF" w:rsidP="000D3BCF">
      <w:pPr>
        <w:spacing w:after="0" w:line="240" w:lineRule="auto"/>
        <w:jc w:val="center"/>
        <w:rPr>
          <w:rFonts w:ascii="ArialMT" w:hAnsi="ArialMT" w:cs="ArialMT"/>
          <w:color w:val="C75928"/>
          <w:sz w:val="48"/>
          <w:szCs w:val="48"/>
        </w:rPr>
      </w:pPr>
      <w:r w:rsidRPr="007D0F28">
        <w:rPr>
          <w:rFonts w:cs="Arial"/>
          <w:iCs/>
        </w:rPr>
        <w:br/>
      </w:r>
      <w:r w:rsidR="00C74A32">
        <w:rPr>
          <w:rFonts w:ascii="ArialMT" w:hAnsi="ArialMT" w:cs="ArialMT"/>
          <w:color w:val="C75928"/>
          <w:sz w:val="48"/>
          <w:szCs w:val="48"/>
        </w:rPr>
        <w:t xml:space="preserve">Newsletter </w:t>
      </w:r>
      <w:r w:rsidR="00037323">
        <w:rPr>
          <w:rFonts w:ascii="ArialMT" w:hAnsi="ArialMT" w:cs="ArialMT"/>
          <w:color w:val="C75928"/>
          <w:sz w:val="48"/>
          <w:szCs w:val="48"/>
        </w:rPr>
        <w:t>June 2016</w:t>
      </w:r>
      <w:r>
        <w:rPr>
          <w:rFonts w:ascii="ArialMT" w:hAnsi="ArialMT" w:cs="ArialMT"/>
          <w:color w:val="C75928"/>
          <w:sz w:val="48"/>
          <w:szCs w:val="48"/>
        </w:rPr>
        <w:t xml:space="preserve">  </w:t>
      </w:r>
    </w:p>
    <w:p w:rsidR="000D3BCF" w:rsidRDefault="000D3BCF" w:rsidP="000D3BCF">
      <w:pPr>
        <w:spacing w:line="240" w:lineRule="auto"/>
        <w:jc w:val="center"/>
        <w:rPr>
          <w:rFonts w:cs="Arial"/>
          <w:iCs/>
        </w:rPr>
      </w:pPr>
    </w:p>
    <w:p w:rsidR="000D3BCF" w:rsidRDefault="000D3BCF" w:rsidP="000D3BCF">
      <w:pPr>
        <w:spacing w:line="240" w:lineRule="auto"/>
        <w:jc w:val="center"/>
        <w:rPr>
          <w:rFonts w:cs="Arial"/>
          <w:iCs/>
        </w:rPr>
      </w:pPr>
    </w:p>
    <w:p w:rsidR="000D3BCF" w:rsidRDefault="000D3BCF" w:rsidP="000D3BCF">
      <w:pPr>
        <w:spacing w:line="240" w:lineRule="auto"/>
        <w:jc w:val="center"/>
        <w:rPr>
          <w:rFonts w:cs="Arial"/>
          <w:iCs/>
        </w:rPr>
      </w:pPr>
    </w:p>
    <w:p w:rsidR="000D3BCF" w:rsidRDefault="000D3BCF" w:rsidP="000D3BCF">
      <w:pPr>
        <w:spacing w:line="240" w:lineRule="auto"/>
        <w:jc w:val="center"/>
        <w:rPr>
          <w:rFonts w:cs="Arial"/>
          <w:i/>
          <w:iCs/>
        </w:rPr>
      </w:pPr>
    </w:p>
    <w:p w:rsidR="0023188A" w:rsidRDefault="002531C3" w:rsidP="000D3BCF">
      <w:pPr>
        <w:spacing w:line="240" w:lineRule="auto"/>
        <w:jc w:val="center"/>
        <w:rPr>
          <w:rFonts w:cs="Arial"/>
          <w:i/>
          <w:iCs/>
        </w:rPr>
      </w:pPr>
      <w:r w:rsidRPr="002531C3">
        <w:rPr>
          <w:rFonts w:cs="Arial"/>
          <w:i/>
          <w:iCs/>
          <w:noProof/>
          <w:lang w:eastAsia="en-AU"/>
        </w:rPr>
        <mc:AlternateContent>
          <mc:Choice Requires="wps">
            <w:drawing>
              <wp:anchor distT="0" distB="0" distL="114300" distR="114300" simplePos="0" relativeHeight="251660288" behindDoc="0" locked="0" layoutInCell="1" allowOverlap="1" wp14:anchorId="27A03855" wp14:editId="489DDDC9">
                <wp:simplePos x="0" y="0"/>
                <wp:positionH relativeFrom="column">
                  <wp:posOffset>-29845</wp:posOffset>
                </wp:positionH>
                <wp:positionV relativeFrom="paragraph">
                  <wp:posOffset>297180</wp:posOffset>
                </wp:positionV>
                <wp:extent cx="5953760" cy="1381760"/>
                <wp:effectExtent l="0" t="0" r="2794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1381760"/>
                        </a:xfrm>
                        <a:prstGeom prst="rect">
                          <a:avLst/>
                        </a:prstGeom>
                        <a:solidFill>
                          <a:srgbClr val="FFFFFF"/>
                        </a:solidFill>
                        <a:ln w="9525">
                          <a:solidFill>
                            <a:srgbClr val="000000"/>
                          </a:solidFill>
                          <a:miter lim="800000"/>
                          <a:headEnd/>
                          <a:tailEnd/>
                        </a:ln>
                      </wps:spPr>
                      <wps:txbx>
                        <w:txbxContent>
                          <w:p w:rsidR="00C74DC6" w:rsidRPr="0099634F" w:rsidRDefault="00C74DC6" w:rsidP="002531C3">
                            <w:pPr>
                              <w:spacing w:after="0"/>
                              <w:jc w:val="both"/>
                              <w:rPr>
                                <w:rFonts w:ascii="Arial" w:hAnsi="Arial" w:cs="Arial"/>
                                <w:iCs/>
                              </w:rPr>
                            </w:pPr>
                            <w:r w:rsidRPr="0099634F">
                              <w:rPr>
                                <w:rFonts w:ascii="Arial" w:hAnsi="Arial" w:cs="Arial"/>
                                <w:iCs/>
                              </w:rPr>
                              <w:t>The South West Native Title Settlement is the largest and most comprehensive agreement to settle Aboriginal interests over land in Australia since colonisation.  Involving around 30,000 Noongar people and covering approximately 200,000 square kilometres, the Settlement provides an opportunity for the WA Government to work in partnership with the Noongar community to improve their economic, social and cultural development. It represents a significant investment in both the Noongar community and the shared future of the Western Australian community as a whole.</w:t>
                            </w:r>
                          </w:p>
                          <w:p w:rsidR="00C74DC6" w:rsidRDefault="00C74D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03855" id="_x0000_t202" coordsize="21600,21600" o:spt="202" path="m,l,21600r21600,l21600,xe">
                <v:stroke joinstyle="miter"/>
                <v:path gradientshapeok="t" o:connecttype="rect"/>
              </v:shapetype>
              <v:shape id="Text Box 2" o:spid="_x0000_s1026" type="#_x0000_t202" style="position:absolute;left:0;text-align:left;margin-left:-2.35pt;margin-top:23.4pt;width:468.8pt;height:10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">
                <v:textbox>
                  <w:txbxContent>
                    <w:p w:rsidR="00C74DC6" w:rsidRPr="0099634F" w:rsidRDefault="00C74DC6" w:rsidP="002531C3">
                      <w:pPr>
                        <w:spacing w:after="0"/>
                        <w:jc w:val="both"/>
                        <w:rPr>
                          <w:rFonts w:ascii="Arial" w:hAnsi="Arial" w:cs="Arial"/>
                          <w:iCs/>
                        </w:rPr>
                      </w:pPr>
                      <w:r w:rsidRPr="0099634F">
                        <w:rPr>
                          <w:rFonts w:ascii="Arial" w:hAnsi="Arial" w:cs="Arial"/>
                          <w:iCs/>
                        </w:rPr>
                        <w:t>The South West Native Title Settlement is the largest and most comprehensive agreement to settle Aboriginal interests over land in Australia since colonisation.  Involving around 30,000 Noongar people and covering approximately 200,000 square kilometres, the Settlement provides an opportunity for the WA Government to work in partnership with the Noongar community to improve their economic, social and cultural development. It represents a significant investment in both the Noongar community and the shared future of the Western Australian community as a whole.</w:t>
                      </w:r>
                    </w:p>
                    <w:p w:rsidR="00C74DC6" w:rsidRDefault="00C74DC6"/>
                  </w:txbxContent>
                </v:textbox>
              </v:shape>
            </w:pict>
          </mc:Fallback>
        </mc:AlternateContent>
      </w:r>
    </w:p>
    <w:p w:rsidR="0023188A" w:rsidRPr="0023188A" w:rsidRDefault="0023188A" w:rsidP="0023188A">
      <w:pPr>
        <w:spacing w:line="240" w:lineRule="auto"/>
        <w:rPr>
          <w:rFonts w:cs="Arial"/>
          <w:i/>
          <w:iCs/>
        </w:rPr>
      </w:pPr>
    </w:p>
    <w:p w:rsidR="000D3BCF" w:rsidRDefault="000D3BCF" w:rsidP="000D3BCF">
      <w:pPr>
        <w:spacing w:line="240" w:lineRule="auto"/>
        <w:jc w:val="center"/>
        <w:rPr>
          <w:rFonts w:cs="Arial"/>
          <w:iCs/>
        </w:rPr>
      </w:pPr>
    </w:p>
    <w:p w:rsidR="009474DD" w:rsidRDefault="009474DD" w:rsidP="00993FDB">
      <w:pPr>
        <w:spacing w:line="240" w:lineRule="auto"/>
        <w:jc w:val="center"/>
        <w:rPr>
          <w:rFonts w:ascii="ArialMT" w:hAnsi="ArialMT" w:cs="ArialMT"/>
          <w:color w:val="C75928"/>
          <w:sz w:val="48"/>
          <w:szCs w:val="48"/>
        </w:rPr>
      </w:pPr>
      <w:r>
        <w:rPr>
          <w:rFonts w:ascii="ArialMT" w:hAnsi="ArialMT" w:cs="ArialMT"/>
          <w:color w:val="C75928"/>
          <w:sz w:val="48"/>
          <w:szCs w:val="48"/>
        </w:rPr>
        <w:t>Pre-conditions to Settlement</w:t>
      </w:r>
    </w:p>
    <w:p w:rsidR="002531C3" w:rsidRDefault="002531C3">
      <w:pPr>
        <w:rPr>
          <w:rFonts w:ascii="Arial" w:hAnsi="Arial" w:cs="Arial"/>
          <w:iCs/>
        </w:rPr>
      </w:pPr>
      <w:r>
        <w:rPr>
          <w:rFonts w:ascii="Arial" w:hAnsi="Arial" w:cs="Arial"/>
          <w:iCs/>
        </w:rPr>
        <w:br w:type="page"/>
      </w:r>
    </w:p>
    <w:p w:rsidR="002531C3" w:rsidRDefault="001002CE" w:rsidP="002531C3">
      <w:pPr>
        <w:spacing w:after="0"/>
        <w:jc w:val="center"/>
        <w:rPr>
          <w:rFonts w:ascii="ArialMT" w:hAnsi="ArialMT" w:cs="ArialMT"/>
          <w:color w:val="C75928"/>
          <w:sz w:val="48"/>
          <w:szCs w:val="48"/>
        </w:rPr>
      </w:pPr>
      <w:r>
        <w:rPr>
          <w:rFonts w:ascii="ArialMT" w:hAnsi="ArialMT" w:cs="ArialMT"/>
          <w:color w:val="C75928"/>
          <w:sz w:val="48"/>
          <w:szCs w:val="48"/>
        </w:rPr>
        <w:lastRenderedPageBreak/>
        <w:t xml:space="preserve">Settlement </w:t>
      </w:r>
      <w:r w:rsidR="002F28B1">
        <w:rPr>
          <w:rFonts w:ascii="ArialMT" w:hAnsi="ArialMT" w:cs="ArialMT"/>
          <w:color w:val="C75928"/>
          <w:sz w:val="48"/>
          <w:szCs w:val="48"/>
        </w:rPr>
        <w:t>update</w:t>
      </w:r>
    </w:p>
    <w:p w:rsidR="002F28B1" w:rsidRDefault="002F28B1" w:rsidP="002531C3">
      <w:pPr>
        <w:spacing w:after="0"/>
        <w:jc w:val="center"/>
        <w:rPr>
          <w:rFonts w:ascii="Arial" w:hAnsi="Arial" w:cs="Arial"/>
          <w:iCs/>
        </w:rPr>
      </w:pPr>
    </w:p>
    <w:p w:rsidR="002F28B1" w:rsidRDefault="00A44C36" w:rsidP="002F28B1">
      <w:pPr>
        <w:spacing w:after="0"/>
        <w:jc w:val="both"/>
        <w:rPr>
          <w:rFonts w:ascii="Arial" w:hAnsi="Arial" w:cs="Arial"/>
          <w:iCs/>
          <w:szCs w:val="24"/>
        </w:rPr>
      </w:pPr>
      <w:r>
        <w:rPr>
          <w:rFonts w:ascii="Arial" w:hAnsi="Arial" w:cs="Arial"/>
          <w:iCs/>
        </w:rPr>
        <w:t xml:space="preserve">8 </w:t>
      </w:r>
      <w:r w:rsidR="000D0D1D">
        <w:rPr>
          <w:rFonts w:ascii="Arial" w:hAnsi="Arial" w:cs="Arial"/>
          <w:iCs/>
        </w:rPr>
        <w:t xml:space="preserve">June 2016 marks </w:t>
      </w:r>
      <w:r w:rsidR="002F28B1">
        <w:rPr>
          <w:rFonts w:ascii="Arial" w:hAnsi="Arial" w:cs="Arial"/>
          <w:iCs/>
        </w:rPr>
        <w:t>a year since the Government</w:t>
      </w:r>
      <w:r w:rsidR="002F28B1" w:rsidRPr="000D3BCF">
        <w:rPr>
          <w:rFonts w:ascii="Arial" w:hAnsi="Arial" w:cs="Arial"/>
          <w:iCs/>
        </w:rPr>
        <w:t xml:space="preserve"> </w:t>
      </w:r>
      <w:r w:rsidR="002F28B1">
        <w:rPr>
          <w:rFonts w:ascii="Arial" w:hAnsi="Arial" w:cs="Arial"/>
          <w:iCs/>
        </w:rPr>
        <w:t xml:space="preserve">of Western Australia </w:t>
      </w:r>
      <w:r w:rsidR="002F28B1" w:rsidRPr="000D3BCF">
        <w:rPr>
          <w:rFonts w:ascii="Arial" w:hAnsi="Arial" w:cs="Arial"/>
          <w:iCs/>
        </w:rPr>
        <w:t>execut</w:t>
      </w:r>
      <w:r w:rsidR="002F28B1">
        <w:rPr>
          <w:rFonts w:ascii="Arial" w:hAnsi="Arial" w:cs="Arial"/>
          <w:iCs/>
        </w:rPr>
        <w:t>ed the 6 South West Native Title Settlement</w:t>
      </w:r>
      <w:r w:rsidR="002F28B1" w:rsidRPr="000D3BCF">
        <w:rPr>
          <w:rFonts w:ascii="Arial" w:hAnsi="Arial" w:cs="Arial"/>
          <w:iCs/>
        </w:rPr>
        <w:t xml:space="preserve"> I</w:t>
      </w:r>
      <w:r w:rsidR="002F28B1">
        <w:rPr>
          <w:rFonts w:ascii="Arial" w:hAnsi="Arial" w:cs="Arial"/>
          <w:iCs/>
        </w:rPr>
        <w:t xml:space="preserve">ndigenous </w:t>
      </w:r>
      <w:r w:rsidR="002F28B1" w:rsidRPr="000D3BCF">
        <w:rPr>
          <w:rFonts w:ascii="Arial" w:hAnsi="Arial" w:cs="Arial"/>
          <w:iCs/>
        </w:rPr>
        <w:t>L</w:t>
      </w:r>
      <w:r w:rsidR="002F28B1">
        <w:rPr>
          <w:rFonts w:ascii="Arial" w:hAnsi="Arial" w:cs="Arial"/>
          <w:iCs/>
        </w:rPr>
        <w:t xml:space="preserve">and </w:t>
      </w:r>
      <w:r w:rsidR="002F28B1" w:rsidRPr="000D3BCF">
        <w:rPr>
          <w:rFonts w:ascii="Arial" w:hAnsi="Arial" w:cs="Arial"/>
          <w:iCs/>
        </w:rPr>
        <w:t>U</w:t>
      </w:r>
      <w:r w:rsidR="002F28B1">
        <w:rPr>
          <w:rFonts w:ascii="Arial" w:hAnsi="Arial" w:cs="Arial"/>
          <w:iCs/>
        </w:rPr>
        <w:t xml:space="preserve">se </w:t>
      </w:r>
      <w:r w:rsidR="002F28B1" w:rsidRPr="000D3BCF">
        <w:rPr>
          <w:rFonts w:ascii="Arial" w:hAnsi="Arial" w:cs="Arial"/>
          <w:iCs/>
        </w:rPr>
        <w:t>A</w:t>
      </w:r>
      <w:r w:rsidR="002F28B1">
        <w:rPr>
          <w:rFonts w:ascii="Arial" w:hAnsi="Arial" w:cs="Arial"/>
          <w:iCs/>
        </w:rPr>
        <w:t>greement</w:t>
      </w:r>
      <w:r w:rsidR="002F28B1" w:rsidRPr="000D3BCF">
        <w:rPr>
          <w:rFonts w:ascii="Arial" w:hAnsi="Arial" w:cs="Arial"/>
          <w:iCs/>
        </w:rPr>
        <w:t xml:space="preserve">s </w:t>
      </w:r>
      <w:r w:rsidR="002F28B1">
        <w:rPr>
          <w:rFonts w:ascii="Arial" w:hAnsi="Arial" w:cs="Arial"/>
          <w:iCs/>
        </w:rPr>
        <w:t>(ILUAs) with the</w:t>
      </w:r>
      <w:r w:rsidR="00652DD6">
        <w:rPr>
          <w:rFonts w:ascii="Arial" w:hAnsi="Arial" w:cs="Arial"/>
          <w:iCs/>
        </w:rPr>
        <w:t xml:space="preserve"> representative parties for the</w:t>
      </w:r>
      <w:r w:rsidR="002F28B1">
        <w:rPr>
          <w:rFonts w:ascii="Arial" w:hAnsi="Arial" w:cs="Arial"/>
          <w:iCs/>
        </w:rPr>
        <w:t xml:space="preserve"> </w:t>
      </w:r>
      <w:r w:rsidR="00652DD6">
        <w:rPr>
          <w:rFonts w:ascii="Arial" w:hAnsi="Arial" w:cs="Arial"/>
          <w:iCs/>
          <w:szCs w:val="24"/>
        </w:rPr>
        <w:t>Ballardong People</w:t>
      </w:r>
      <w:r w:rsidR="002F28B1">
        <w:rPr>
          <w:rFonts w:ascii="Arial" w:hAnsi="Arial" w:cs="Arial"/>
          <w:iCs/>
          <w:szCs w:val="24"/>
        </w:rPr>
        <w:t xml:space="preserve">, </w:t>
      </w:r>
      <w:r w:rsidR="002F28B1" w:rsidRPr="00993FDB">
        <w:rPr>
          <w:rFonts w:ascii="Arial" w:hAnsi="Arial" w:cs="Arial"/>
          <w:iCs/>
          <w:szCs w:val="24"/>
        </w:rPr>
        <w:t>Gnaala Karla Booja</w:t>
      </w:r>
      <w:r w:rsidR="002F28B1">
        <w:rPr>
          <w:rFonts w:ascii="Arial" w:hAnsi="Arial" w:cs="Arial"/>
          <w:iCs/>
          <w:szCs w:val="24"/>
        </w:rPr>
        <w:t>, South West Boojarah</w:t>
      </w:r>
      <w:r w:rsidR="00652DD6">
        <w:rPr>
          <w:rFonts w:ascii="Arial" w:hAnsi="Arial" w:cs="Arial"/>
          <w:iCs/>
          <w:szCs w:val="24"/>
        </w:rPr>
        <w:t xml:space="preserve"> #2</w:t>
      </w:r>
      <w:r w:rsidR="002F28B1">
        <w:rPr>
          <w:rFonts w:ascii="Arial" w:hAnsi="Arial" w:cs="Arial"/>
          <w:iCs/>
          <w:szCs w:val="24"/>
        </w:rPr>
        <w:t xml:space="preserve">, </w:t>
      </w:r>
      <w:r w:rsidR="002F28B1" w:rsidRPr="00993FDB">
        <w:rPr>
          <w:rFonts w:ascii="Arial" w:hAnsi="Arial" w:cs="Arial"/>
          <w:iCs/>
          <w:szCs w:val="24"/>
        </w:rPr>
        <w:t xml:space="preserve">Wagyl Kaip </w:t>
      </w:r>
      <w:r w:rsidR="002F28B1">
        <w:rPr>
          <w:rFonts w:ascii="Arial" w:hAnsi="Arial" w:cs="Arial"/>
          <w:iCs/>
          <w:szCs w:val="24"/>
        </w:rPr>
        <w:t>&amp; Southern Noongar, Whadjuk</w:t>
      </w:r>
      <w:r w:rsidR="00652DD6">
        <w:rPr>
          <w:rFonts w:ascii="Arial" w:hAnsi="Arial" w:cs="Arial"/>
          <w:iCs/>
          <w:szCs w:val="24"/>
        </w:rPr>
        <w:t xml:space="preserve"> People and Yued</w:t>
      </w:r>
      <w:r w:rsidR="002F28B1">
        <w:rPr>
          <w:rFonts w:ascii="Arial" w:hAnsi="Arial" w:cs="Arial"/>
          <w:iCs/>
          <w:szCs w:val="24"/>
        </w:rPr>
        <w:t xml:space="preserve"> </w:t>
      </w:r>
      <w:r w:rsidR="00652DD6">
        <w:rPr>
          <w:rFonts w:ascii="Arial" w:hAnsi="Arial" w:cs="Arial"/>
          <w:iCs/>
          <w:szCs w:val="24"/>
        </w:rPr>
        <w:t xml:space="preserve">native title agreement </w:t>
      </w:r>
      <w:r w:rsidR="002F28B1">
        <w:rPr>
          <w:rFonts w:ascii="Arial" w:hAnsi="Arial" w:cs="Arial"/>
          <w:iCs/>
          <w:szCs w:val="24"/>
        </w:rPr>
        <w:t>groups</w:t>
      </w:r>
      <w:r w:rsidR="000D0D1D">
        <w:rPr>
          <w:rFonts w:ascii="Arial" w:hAnsi="Arial" w:cs="Arial"/>
          <w:iCs/>
          <w:szCs w:val="24"/>
        </w:rPr>
        <w:t xml:space="preserve">.  </w:t>
      </w:r>
      <w:r w:rsidR="002F28B1">
        <w:rPr>
          <w:rFonts w:ascii="Arial" w:hAnsi="Arial" w:cs="Arial"/>
          <w:iCs/>
          <w:szCs w:val="24"/>
        </w:rPr>
        <w:t xml:space="preserve"> </w:t>
      </w:r>
    </w:p>
    <w:p w:rsidR="002F28B1" w:rsidRDefault="002F28B1" w:rsidP="002F28B1">
      <w:pPr>
        <w:spacing w:after="0"/>
        <w:jc w:val="both"/>
        <w:rPr>
          <w:rFonts w:ascii="Arial" w:hAnsi="Arial" w:cs="Arial"/>
          <w:iCs/>
          <w:szCs w:val="24"/>
        </w:rPr>
      </w:pPr>
    </w:p>
    <w:p w:rsidR="000D0D1D" w:rsidRDefault="002F28B1" w:rsidP="00A12E0B">
      <w:pPr>
        <w:spacing w:after="0"/>
        <w:jc w:val="both"/>
        <w:rPr>
          <w:rFonts w:ascii="Arial" w:hAnsi="Arial" w:cs="Arial"/>
          <w:iCs/>
        </w:rPr>
      </w:pPr>
      <w:r>
        <w:rPr>
          <w:rFonts w:ascii="Arial" w:hAnsi="Arial" w:cs="Arial"/>
          <w:iCs/>
        </w:rPr>
        <w:t xml:space="preserve">Since our last </w:t>
      </w:r>
      <w:r w:rsidR="000D0D1D">
        <w:rPr>
          <w:rFonts w:ascii="Arial" w:hAnsi="Arial" w:cs="Arial"/>
          <w:iCs/>
        </w:rPr>
        <w:t xml:space="preserve">newsletter </w:t>
      </w:r>
      <w:r>
        <w:rPr>
          <w:rFonts w:ascii="Arial" w:hAnsi="Arial" w:cs="Arial"/>
          <w:iCs/>
        </w:rPr>
        <w:t>update in December 2015, several significant milestones have been achieved toward commencement of the South West Native Title Settlement</w:t>
      </w:r>
      <w:r w:rsidR="00530B00">
        <w:rPr>
          <w:rFonts w:ascii="Arial" w:hAnsi="Arial" w:cs="Arial"/>
          <w:iCs/>
        </w:rPr>
        <w:t xml:space="preserve"> (Settlement)</w:t>
      </w:r>
      <w:r>
        <w:rPr>
          <w:rFonts w:ascii="Arial" w:hAnsi="Arial" w:cs="Arial"/>
          <w:iCs/>
        </w:rPr>
        <w:t xml:space="preserve">. </w:t>
      </w:r>
    </w:p>
    <w:p w:rsidR="000D0D1D" w:rsidRDefault="000D0D1D" w:rsidP="00A12E0B">
      <w:pPr>
        <w:spacing w:after="0"/>
        <w:jc w:val="both"/>
        <w:rPr>
          <w:rFonts w:ascii="Arial" w:hAnsi="Arial" w:cs="Arial"/>
          <w:iCs/>
        </w:rPr>
      </w:pPr>
    </w:p>
    <w:p w:rsidR="000D0D1D" w:rsidRDefault="002F28B1" w:rsidP="00A12E0B">
      <w:pPr>
        <w:spacing w:after="0"/>
        <w:jc w:val="both"/>
        <w:rPr>
          <w:rFonts w:ascii="Arial" w:hAnsi="Arial" w:cs="Arial"/>
          <w:iCs/>
        </w:rPr>
      </w:pPr>
      <w:r>
        <w:rPr>
          <w:rFonts w:ascii="Arial" w:hAnsi="Arial" w:cs="Arial"/>
          <w:iCs/>
        </w:rPr>
        <w:t xml:space="preserve">We are particularly </w:t>
      </w:r>
      <w:r w:rsidR="00A44C36">
        <w:rPr>
          <w:rFonts w:ascii="Arial" w:hAnsi="Arial" w:cs="Arial"/>
          <w:iCs/>
        </w:rPr>
        <w:t xml:space="preserve">pleased </w:t>
      </w:r>
      <w:r>
        <w:rPr>
          <w:rFonts w:ascii="Arial" w:hAnsi="Arial" w:cs="Arial"/>
          <w:iCs/>
        </w:rPr>
        <w:t xml:space="preserve">to </w:t>
      </w:r>
      <w:hyperlink r:id="rId10" w:history="1">
        <w:r w:rsidRPr="00C16D1E">
          <w:rPr>
            <w:rStyle w:val="Hyperlink"/>
            <w:rFonts w:ascii="Arial" w:hAnsi="Arial" w:cs="Arial"/>
            <w:iCs/>
          </w:rPr>
          <w:t>announce</w:t>
        </w:r>
      </w:hyperlink>
      <w:r>
        <w:rPr>
          <w:rFonts w:ascii="Arial" w:hAnsi="Arial" w:cs="Arial"/>
          <w:iCs/>
        </w:rPr>
        <w:t xml:space="preserve"> the proclamation of the </w:t>
      </w:r>
      <w:r w:rsidRPr="00161A42">
        <w:rPr>
          <w:rFonts w:ascii="Arial" w:hAnsi="Arial" w:cs="Arial"/>
          <w:i/>
          <w:iCs/>
        </w:rPr>
        <w:t>Noongar (Koorah, Nitja, Boordahwan) (Past, Present, Future) Recognition Act 2016</w:t>
      </w:r>
      <w:r w:rsidRPr="00161A42">
        <w:rPr>
          <w:rFonts w:ascii="Arial" w:hAnsi="Arial" w:cs="Arial"/>
          <w:iCs/>
        </w:rPr>
        <w:t xml:space="preserve"> </w:t>
      </w:r>
      <w:r>
        <w:rPr>
          <w:rFonts w:ascii="Arial" w:hAnsi="Arial" w:cs="Arial"/>
          <w:iCs/>
        </w:rPr>
        <w:t xml:space="preserve">on WA Day 2016, </w:t>
      </w:r>
      <w:r w:rsidR="000D0D1D">
        <w:rPr>
          <w:rFonts w:ascii="Arial" w:hAnsi="Arial" w:cs="Arial"/>
          <w:iCs/>
        </w:rPr>
        <w:t>fo</w:t>
      </w:r>
      <w:r w:rsidR="00D9793B">
        <w:rPr>
          <w:rFonts w:ascii="Arial" w:hAnsi="Arial" w:cs="Arial"/>
          <w:iCs/>
        </w:rPr>
        <w:t>rmally recognising the Noongar P</w:t>
      </w:r>
      <w:r w:rsidR="000D0D1D">
        <w:rPr>
          <w:rFonts w:ascii="Arial" w:hAnsi="Arial" w:cs="Arial"/>
          <w:iCs/>
        </w:rPr>
        <w:t xml:space="preserve">eople as the traditional owners of the South West of WA, </w:t>
      </w:r>
      <w:r>
        <w:rPr>
          <w:rFonts w:ascii="Arial" w:hAnsi="Arial" w:cs="Arial"/>
          <w:iCs/>
        </w:rPr>
        <w:t xml:space="preserve">and the recent selection of </w:t>
      </w:r>
      <w:r w:rsidR="0087653A" w:rsidRPr="0087653A">
        <w:rPr>
          <w:rFonts w:ascii="Arial" w:hAnsi="Arial" w:cs="Arial"/>
          <w:iCs/>
        </w:rPr>
        <w:t>Per</w:t>
      </w:r>
      <w:r w:rsidR="000F14BE">
        <w:rPr>
          <w:rFonts w:ascii="Arial" w:hAnsi="Arial" w:cs="Arial"/>
          <w:iCs/>
        </w:rPr>
        <w:t xml:space="preserve">petual Trustee Company Limited </w:t>
      </w:r>
      <w:r w:rsidR="000D0D1D">
        <w:rPr>
          <w:rFonts w:ascii="Arial" w:hAnsi="Arial" w:cs="Arial"/>
          <w:iCs/>
        </w:rPr>
        <w:t xml:space="preserve">as the </w:t>
      </w:r>
      <w:r>
        <w:rPr>
          <w:rFonts w:ascii="Arial" w:hAnsi="Arial" w:cs="Arial"/>
          <w:iCs/>
        </w:rPr>
        <w:t xml:space="preserve">Professional Trustee Company who, subject to the successful registration of the ILUAs, will be appointed </w:t>
      </w:r>
      <w:r w:rsidR="000D0D1D">
        <w:rPr>
          <w:rFonts w:ascii="Arial" w:hAnsi="Arial" w:cs="Arial"/>
          <w:iCs/>
        </w:rPr>
        <w:t xml:space="preserve">to act </w:t>
      </w:r>
      <w:r>
        <w:rPr>
          <w:rFonts w:ascii="Arial" w:hAnsi="Arial" w:cs="Arial"/>
          <w:iCs/>
        </w:rPr>
        <w:t xml:space="preserve">as the </w:t>
      </w:r>
      <w:r w:rsidR="000D0D1D">
        <w:rPr>
          <w:rFonts w:ascii="Arial" w:hAnsi="Arial" w:cs="Arial"/>
          <w:iCs/>
        </w:rPr>
        <w:t xml:space="preserve">initial </w:t>
      </w:r>
      <w:r>
        <w:rPr>
          <w:rFonts w:ascii="Arial" w:hAnsi="Arial" w:cs="Arial"/>
          <w:iCs/>
        </w:rPr>
        <w:t xml:space="preserve">Noongar Boodja Trustee. </w:t>
      </w:r>
    </w:p>
    <w:p w:rsidR="000D0D1D" w:rsidRDefault="000D0D1D" w:rsidP="00A12E0B">
      <w:pPr>
        <w:spacing w:after="0"/>
        <w:jc w:val="both"/>
        <w:rPr>
          <w:rFonts w:ascii="Arial" w:hAnsi="Arial" w:cs="Arial"/>
          <w:iCs/>
        </w:rPr>
      </w:pPr>
    </w:p>
    <w:p w:rsidR="002F28B1" w:rsidRDefault="002F28B1" w:rsidP="00A12E0B">
      <w:pPr>
        <w:spacing w:after="0"/>
        <w:jc w:val="both"/>
        <w:rPr>
          <w:rFonts w:ascii="Arial" w:hAnsi="Arial" w:cs="Arial"/>
          <w:iCs/>
        </w:rPr>
      </w:pPr>
      <w:r>
        <w:rPr>
          <w:rFonts w:ascii="Arial" w:hAnsi="Arial" w:cs="Arial"/>
          <w:iCs/>
        </w:rPr>
        <w:t xml:space="preserve">The proclamation of the </w:t>
      </w:r>
      <w:r w:rsidRPr="00161A42">
        <w:rPr>
          <w:rFonts w:ascii="Arial" w:hAnsi="Arial" w:cs="Arial"/>
          <w:i/>
          <w:iCs/>
        </w:rPr>
        <w:t>Land Administration (South West Native Title Settlement) Act 2016</w:t>
      </w:r>
      <w:r w:rsidRPr="00161A42">
        <w:rPr>
          <w:rFonts w:ascii="Arial" w:hAnsi="Arial" w:cs="Arial"/>
          <w:iCs/>
        </w:rPr>
        <w:t xml:space="preserve"> and gazettal of </w:t>
      </w:r>
      <w:r w:rsidR="000D0D1D" w:rsidRPr="00161A42">
        <w:rPr>
          <w:rFonts w:ascii="Arial" w:hAnsi="Arial" w:cs="Arial"/>
          <w:iCs/>
        </w:rPr>
        <w:t xml:space="preserve">WA </w:t>
      </w:r>
      <w:r w:rsidRPr="00161A42">
        <w:rPr>
          <w:rFonts w:ascii="Arial" w:hAnsi="Arial" w:cs="Arial"/>
          <w:iCs/>
        </w:rPr>
        <w:t>Water By-Law Amendments</w:t>
      </w:r>
      <w:r>
        <w:rPr>
          <w:rFonts w:ascii="Arial" w:hAnsi="Arial" w:cs="Arial"/>
          <w:iCs/>
        </w:rPr>
        <w:t xml:space="preserve"> also represent significant milestones toward Settlement. </w:t>
      </w:r>
    </w:p>
    <w:p w:rsidR="00B958C3" w:rsidRDefault="00B958C3" w:rsidP="00A12E0B">
      <w:pPr>
        <w:spacing w:after="0"/>
        <w:jc w:val="both"/>
        <w:rPr>
          <w:rFonts w:ascii="Arial" w:hAnsi="Arial" w:cs="Arial"/>
          <w:iCs/>
        </w:rPr>
      </w:pPr>
    </w:p>
    <w:p w:rsidR="00B958C3" w:rsidRDefault="00B958C3" w:rsidP="00A12E0B">
      <w:pPr>
        <w:spacing w:after="0"/>
        <w:jc w:val="both"/>
        <w:rPr>
          <w:rFonts w:ascii="Arial" w:hAnsi="Arial" w:cs="Arial"/>
          <w:iCs/>
        </w:rPr>
      </w:pPr>
      <w:r>
        <w:rPr>
          <w:rFonts w:ascii="Arial" w:hAnsi="Arial" w:cs="Arial"/>
          <w:iCs/>
        </w:rPr>
        <w:t xml:space="preserve">This newsletter provides </w:t>
      </w:r>
      <w:r w:rsidR="00161A42">
        <w:rPr>
          <w:rFonts w:ascii="Arial" w:hAnsi="Arial" w:cs="Arial"/>
          <w:iCs/>
        </w:rPr>
        <w:t>information</w:t>
      </w:r>
      <w:r>
        <w:rPr>
          <w:rFonts w:ascii="Arial" w:hAnsi="Arial" w:cs="Arial"/>
          <w:iCs/>
        </w:rPr>
        <w:t xml:space="preserve"> on these achievements, as well as</w:t>
      </w:r>
      <w:r w:rsidR="00161A42">
        <w:rPr>
          <w:rFonts w:ascii="Arial" w:hAnsi="Arial" w:cs="Arial"/>
          <w:iCs/>
        </w:rPr>
        <w:t xml:space="preserve"> an update on</w:t>
      </w:r>
      <w:r>
        <w:rPr>
          <w:rFonts w:ascii="Arial" w:hAnsi="Arial" w:cs="Arial"/>
          <w:iCs/>
        </w:rPr>
        <w:t xml:space="preserve"> progress toward the registration of the six ILUAs, the establishment of the Noongar Corporations, the implementation of the Noongar Standard Heritage Agreement, Noongar Land Base Strategy, and general planning for </w:t>
      </w:r>
      <w:r w:rsidR="00D0463D">
        <w:rPr>
          <w:rFonts w:ascii="Arial" w:hAnsi="Arial" w:cs="Arial"/>
          <w:iCs/>
        </w:rPr>
        <w:t>the commencement of the Settlement</w:t>
      </w:r>
      <w:r>
        <w:rPr>
          <w:rFonts w:ascii="Arial" w:hAnsi="Arial" w:cs="Arial"/>
          <w:iCs/>
        </w:rPr>
        <w:t xml:space="preserve">. </w:t>
      </w:r>
    </w:p>
    <w:p w:rsidR="002F28B1" w:rsidRDefault="002F28B1" w:rsidP="00A12E0B">
      <w:pPr>
        <w:spacing w:after="0"/>
        <w:jc w:val="both"/>
        <w:rPr>
          <w:rFonts w:ascii="Arial" w:hAnsi="Arial" w:cs="Arial"/>
          <w:iCs/>
        </w:rPr>
      </w:pPr>
    </w:p>
    <w:p w:rsidR="002F28B1" w:rsidRDefault="002F28B1" w:rsidP="002F28B1">
      <w:pPr>
        <w:spacing w:after="0"/>
        <w:jc w:val="center"/>
        <w:rPr>
          <w:rFonts w:ascii="ArialMT" w:hAnsi="ArialMT" w:cs="ArialMT"/>
          <w:color w:val="C75928"/>
          <w:sz w:val="48"/>
          <w:szCs w:val="48"/>
        </w:rPr>
      </w:pPr>
      <w:r>
        <w:rPr>
          <w:rFonts w:ascii="ArialMT" w:hAnsi="ArialMT" w:cs="ArialMT"/>
          <w:color w:val="C75928"/>
          <w:sz w:val="48"/>
          <w:szCs w:val="48"/>
        </w:rPr>
        <w:t xml:space="preserve">Progress on </w:t>
      </w:r>
      <w:r w:rsidR="00A44C36">
        <w:rPr>
          <w:rFonts w:ascii="ArialMT" w:hAnsi="ArialMT" w:cs="ArialMT"/>
          <w:color w:val="C75928"/>
          <w:sz w:val="48"/>
          <w:szCs w:val="48"/>
        </w:rPr>
        <w:t>Conditions to Settlement</w:t>
      </w:r>
      <w:r>
        <w:rPr>
          <w:rFonts w:ascii="ArialMT" w:hAnsi="ArialMT" w:cs="ArialMT"/>
          <w:color w:val="C75928"/>
          <w:sz w:val="48"/>
          <w:szCs w:val="48"/>
        </w:rPr>
        <w:t xml:space="preserve"> </w:t>
      </w:r>
    </w:p>
    <w:p w:rsidR="002F28B1" w:rsidRDefault="002F28B1" w:rsidP="002F28B1">
      <w:pPr>
        <w:spacing w:after="0"/>
        <w:jc w:val="both"/>
        <w:rPr>
          <w:rFonts w:ascii="Arial" w:hAnsi="Arial" w:cs="Arial"/>
          <w:iCs/>
        </w:rPr>
      </w:pPr>
    </w:p>
    <w:p w:rsidR="00B958C3" w:rsidRDefault="00B958C3" w:rsidP="00B958C3">
      <w:pPr>
        <w:spacing w:after="0"/>
        <w:jc w:val="both"/>
        <w:rPr>
          <w:rFonts w:ascii="Arial" w:hAnsi="Arial" w:cs="Arial"/>
        </w:rPr>
      </w:pPr>
      <w:r>
        <w:rPr>
          <w:rFonts w:ascii="Arial" w:hAnsi="Arial" w:cs="Arial"/>
          <w:iCs/>
        </w:rPr>
        <w:t xml:space="preserve">There are four conditions that must be </w:t>
      </w:r>
      <w:r w:rsidR="00A44C36">
        <w:rPr>
          <w:rFonts w:ascii="Arial" w:hAnsi="Arial" w:cs="Arial"/>
          <w:iCs/>
        </w:rPr>
        <w:t xml:space="preserve">satisfied </w:t>
      </w:r>
      <w:r>
        <w:rPr>
          <w:rFonts w:ascii="Arial" w:hAnsi="Arial" w:cs="Arial"/>
          <w:iCs/>
        </w:rPr>
        <w:t xml:space="preserve">to enable the commencement of the </w:t>
      </w:r>
      <w:r w:rsidR="00D0463D">
        <w:rPr>
          <w:rFonts w:ascii="Arial" w:hAnsi="Arial" w:cs="Arial"/>
          <w:iCs/>
        </w:rPr>
        <w:t>Settlement</w:t>
      </w:r>
      <w:r>
        <w:rPr>
          <w:rFonts w:ascii="Arial" w:hAnsi="Arial" w:cs="Arial"/>
          <w:iCs/>
        </w:rPr>
        <w:t>.</w:t>
      </w:r>
      <w:r>
        <w:rPr>
          <w:rFonts w:ascii="Arial" w:hAnsi="Arial" w:cs="Arial"/>
        </w:rPr>
        <w:t xml:space="preserve"> </w:t>
      </w:r>
    </w:p>
    <w:p w:rsidR="007416E7" w:rsidRPr="007A7036" w:rsidRDefault="007416E7" w:rsidP="00B958C3">
      <w:pPr>
        <w:spacing w:after="0"/>
        <w:jc w:val="both"/>
        <w:rPr>
          <w:rFonts w:ascii="Arial" w:hAnsi="Arial" w:cs="Arial"/>
          <w:iCs/>
          <w:sz w:val="24"/>
        </w:rPr>
      </w:pPr>
    </w:p>
    <w:p w:rsidR="002F28B1" w:rsidRDefault="00A44C36" w:rsidP="002F28B1">
      <w:pPr>
        <w:spacing w:after="0"/>
        <w:jc w:val="both"/>
        <w:rPr>
          <w:rFonts w:ascii="Arial" w:hAnsi="Arial" w:cs="Arial"/>
          <w:iCs/>
        </w:rPr>
      </w:pPr>
      <w:r>
        <w:rPr>
          <w:rFonts w:ascii="Arial" w:hAnsi="Arial" w:cs="Arial"/>
          <w:iCs/>
        </w:rPr>
        <w:t>The WA Government has</w:t>
      </w:r>
      <w:r w:rsidR="002F28B1">
        <w:rPr>
          <w:rFonts w:ascii="Arial" w:hAnsi="Arial" w:cs="Arial"/>
          <w:iCs/>
        </w:rPr>
        <w:t xml:space="preserve"> </w:t>
      </w:r>
      <w:r w:rsidR="00B958C3">
        <w:rPr>
          <w:rFonts w:ascii="Arial" w:hAnsi="Arial" w:cs="Arial"/>
          <w:iCs/>
        </w:rPr>
        <w:t>now</w:t>
      </w:r>
      <w:r w:rsidR="002F28B1">
        <w:rPr>
          <w:rFonts w:ascii="Arial" w:hAnsi="Arial" w:cs="Arial"/>
          <w:iCs/>
        </w:rPr>
        <w:t xml:space="preserve"> satisfied</w:t>
      </w:r>
      <w:r>
        <w:rPr>
          <w:rFonts w:ascii="Arial" w:hAnsi="Arial" w:cs="Arial"/>
          <w:iCs/>
        </w:rPr>
        <w:t xml:space="preserve"> 3 of those conditions</w:t>
      </w:r>
      <w:r w:rsidR="002F28B1">
        <w:rPr>
          <w:rFonts w:ascii="Arial" w:hAnsi="Arial" w:cs="Arial"/>
          <w:iCs/>
        </w:rPr>
        <w:t xml:space="preserve">, </w:t>
      </w:r>
      <w:r>
        <w:rPr>
          <w:rFonts w:ascii="Arial" w:hAnsi="Arial" w:cs="Arial"/>
          <w:iCs/>
        </w:rPr>
        <w:t xml:space="preserve">with </w:t>
      </w:r>
      <w:r w:rsidR="002F28B1">
        <w:rPr>
          <w:rFonts w:ascii="Arial" w:hAnsi="Arial" w:cs="Arial"/>
          <w:iCs/>
        </w:rPr>
        <w:t xml:space="preserve">only the registration of the </w:t>
      </w:r>
      <w:r w:rsidR="0099634F">
        <w:rPr>
          <w:rFonts w:ascii="Arial" w:hAnsi="Arial" w:cs="Arial"/>
          <w:iCs/>
        </w:rPr>
        <w:t xml:space="preserve">6 </w:t>
      </w:r>
      <w:r w:rsidR="002F28B1">
        <w:rPr>
          <w:rFonts w:ascii="Arial" w:hAnsi="Arial" w:cs="Arial"/>
          <w:iCs/>
        </w:rPr>
        <w:t xml:space="preserve">ILUAs </w:t>
      </w:r>
      <w:r>
        <w:rPr>
          <w:rFonts w:ascii="Arial" w:hAnsi="Arial" w:cs="Arial"/>
          <w:iCs/>
        </w:rPr>
        <w:t xml:space="preserve">remaining </w:t>
      </w:r>
      <w:r w:rsidR="002F28B1">
        <w:rPr>
          <w:rFonts w:ascii="Arial" w:hAnsi="Arial" w:cs="Arial"/>
          <w:iCs/>
        </w:rPr>
        <w:t>outstanding</w:t>
      </w:r>
      <w:r w:rsidR="00B958C3">
        <w:rPr>
          <w:rFonts w:ascii="Arial" w:hAnsi="Arial" w:cs="Arial"/>
          <w:iCs/>
        </w:rPr>
        <w:t xml:space="preserve">.  Updates on the </w:t>
      </w:r>
      <w:r>
        <w:rPr>
          <w:rFonts w:ascii="Arial" w:hAnsi="Arial" w:cs="Arial"/>
          <w:iCs/>
        </w:rPr>
        <w:t>status of those conditions</w:t>
      </w:r>
      <w:r w:rsidR="00B958C3">
        <w:rPr>
          <w:rFonts w:ascii="Arial" w:hAnsi="Arial" w:cs="Arial"/>
          <w:iCs/>
        </w:rPr>
        <w:t xml:space="preserve"> are provided below. </w:t>
      </w:r>
    </w:p>
    <w:p w:rsidR="002F28B1" w:rsidRDefault="002F28B1" w:rsidP="00531DBB">
      <w:pPr>
        <w:spacing w:after="0"/>
        <w:jc w:val="both"/>
        <w:rPr>
          <w:rFonts w:ascii="Arial" w:hAnsi="Arial" w:cs="Arial"/>
          <w:iCs/>
        </w:rPr>
      </w:pPr>
    </w:p>
    <w:p w:rsidR="00F706D6" w:rsidRPr="001002CE" w:rsidRDefault="001002CE" w:rsidP="00DC6852">
      <w:pPr>
        <w:spacing w:after="0" w:line="240" w:lineRule="auto"/>
        <w:rPr>
          <w:rFonts w:ascii="Arial" w:hAnsi="Arial" w:cs="Arial"/>
          <w:color w:val="026694"/>
          <w:sz w:val="34"/>
          <w:szCs w:val="34"/>
        </w:rPr>
      </w:pPr>
      <w:r>
        <w:rPr>
          <w:rFonts w:ascii="Arial" w:hAnsi="Arial" w:cs="Arial"/>
          <w:color w:val="026694"/>
          <w:sz w:val="34"/>
          <w:szCs w:val="34"/>
        </w:rPr>
        <w:t xml:space="preserve">Proclamation of </w:t>
      </w:r>
      <w:r w:rsidR="00B82787">
        <w:rPr>
          <w:rFonts w:ascii="Arial" w:hAnsi="Arial" w:cs="Arial"/>
          <w:color w:val="026694"/>
          <w:sz w:val="34"/>
          <w:szCs w:val="34"/>
        </w:rPr>
        <w:t xml:space="preserve">the </w:t>
      </w:r>
      <w:r w:rsidR="00F706D6" w:rsidRPr="001002CE">
        <w:rPr>
          <w:rFonts w:ascii="Arial" w:hAnsi="Arial" w:cs="Arial"/>
          <w:i/>
          <w:color w:val="026694"/>
          <w:sz w:val="34"/>
          <w:szCs w:val="34"/>
        </w:rPr>
        <w:t xml:space="preserve">Noongar (Koorah, Nitja, Boordahwan) (Past, Present, Future) Recognition </w:t>
      </w:r>
      <w:r w:rsidR="00A12E0B" w:rsidRPr="001002CE">
        <w:rPr>
          <w:rFonts w:ascii="Arial" w:hAnsi="Arial" w:cs="Arial"/>
          <w:i/>
          <w:color w:val="026694"/>
          <w:sz w:val="34"/>
          <w:szCs w:val="34"/>
        </w:rPr>
        <w:t>Act</w:t>
      </w:r>
      <w:r w:rsidR="00F706D6" w:rsidRPr="001002CE">
        <w:rPr>
          <w:rFonts w:ascii="Arial" w:hAnsi="Arial" w:cs="Arial"/>
          <w:i/>
          <w:color w:val="026694"/>
          <w:sz w:val="34"/>
          <w:szCs w:val="34"/>
        </w:rPr>
        <w:t xml:space="preserve"> 201</w:t>
      </w:r>
      <w:r w:rsidR="00A12E0B" w:rsidRPr="001002CE">
        <w:rPr>
          <w:rFonts w:ascii="Arial" w:hAnsi="Arial" w:cs="Arial"/>
          <w:i/>
          <w:color w:val="026694"/>
          <w:sz w:val="34"/>
          <w:szCs w:val="34"/>
        </w:rPr>
        <w:t>6</w:t>
      </w:r>
    </w:p>
    <w:p w:rsidR="00B865F6" w:rsidRDefault="00B865F6" w:rsidP="00F706D6">
      <w:pPr>
        <w:spacing w:after="0" w:line="240" w:lineRule="auto"/>
        <w:jc w:val="both"/>
        <w:rPr>
          <w:rFonts w:ascii="Arial" w:hAnsi="Arial" w:cs="Arial"/>
          <w:iCs/>
        </w:rPr>
      </w:pPr>
    </w:p>
    <w:p w:rsidR="00F327B2" w:rsidRDefault="00CA3624" w:rsidP="00F327B2">
      <w:pPr>
        <w:spacing w:after="0"/>
        <w:jc w:val="both"/>
        <w:rPr>
          <w:rFonts w:ascii="Arial" w:hAnsi="Arial" w:cs="Arial"/>
          <w:iCs/>
        </w:rPr>
      </w:pPr>
      <w:r w:rsidRPr="00F327B2">
        <w:rPr>
          <w:rFonts w:ascii="Arial" w:hAnsi="Arial" w:cs="Arial"/>
          <w:iCs/>
        </w:rPr>
        <w:t xml:space="preserve">The </w:t>
      </w:r>
      <w:r w:rsidRPr="00F327B2">
        <w:rPr>
          <w:rFonts w:ascii="Arial" w:hAnsi="Arial" w:cs="Arial"/>
          <w:i/>
          <w:iCs/>
        </w:rPr>
        <w:t>Noongar (Koorah, Nitja, Boordahwan) (Past, Present, Future) Recognition Act 2016</w:t>
      </w:r>
      <w:r w:rsidRPr="00F327B2">
        <w:rPr>
          <w:rFonts w:ascii="Arial" w:hAnsi="Arial" w:cs="Arial"/>
          <w:iCs/>
        </w:rPr>
        <w:t xml:space="preserve"> was proclaimed on WA Day – 6 June 2016, marking a historic day for WA. </w:t>
      </w:r>
      <w:r w:rsidR="00F327B2">
        <w:rPr>
          <w:rFonts w:ascii="Arial" w:hAnsi="Arial" w:cs="Arial"/>
          <w:iCs/>
        </w:rPr>
        <w:t xml:space="preserve"> </w:t>
      </w:r>
    </w:p>
    <w:p w:rsidR="00F327B2" w:rsidRDefault="00F327B2" w:rsidP="00F327B2">
      <w:pPr>
        <w:spacing w:after="0"/>
        <w:jc w:val="both"/>
        <w:rPr>
          <w:rFonts w:ascii="Arial" w:hAnsi="Arial" w:cs="Arial"/>
          <w:iCs/>
        </w:rPr>
      </w:pPr>
    </w:p>
    <w:p w:rsidR="00CA3624" w:rsidRDefault="00CA3624" w:rsidP="00F327B2">
      <w:pPr>
        <w:spacing w:after="0"/>
        <w:jc w:val="both"/>
        <w:rPr>
          <w:rFonts w:ascii="Arial" w:hAnsi="Arial" w:cs="Arial"/>
          <w:iCs/>
        </w:rPr>
      </w:pPr>
      <w:r w:rsidRPr="00F327B2">
        <w:rPr>
          <w:rFonts w:ascii="Arial" w:hAnsi="Arial" w:cs="Arial"/>
          <w:iCs/>
        </w:rPr>
        <w:t>The Act</w:t>
      </w:r>
      <w:r w:rsidR="00F327B2" w:rsidRPr="00F327B2">
        <w:rPr>
          <w:rFonts w:ascii="Arial" w:hAnsi="Arial" w:cs="Arial"/>
          <w:iCs/>
        </w:rPr>
        <w:t xml:space="preserve"> is a symbolic piece of legislation which</w:t>
      </w:r>
      <w:r w:rsidR="00D9793B">
        <w:rPr>
          <w:rFonts w:ascii="Arial" w:hAnsi="Arial" w:cs="Arial"/>
          <w:iCs/>
        </w:rPr>
        <w:t xml:space="preserve"> establishes the Noongar P</w:t>
      </w:r>
      <w:r w:rsidRPr="00F327B2">
        <w:rPr>
          <w:rFonts w:ascii="Arial" w:hAnsi="Arial" w:cs="Arial"/>
          <w:iCs/>
        </w:rPr>
        <w:t xml:space="preserve">eople as the traditional owners of the land in the South-West. </w:t>
      </w:r>
      <w:r w:rsidR="00F327B2" w:rsidRPr="00F327B2">
        <w:rPr>
          <w:rFonts w:ascii="Arial" w:hAnsi="Arial" w:cs="Arial"/>
          <w:iCs/>
        </w:rPr>
        <w:t>It is</w:t>
      </w:r>
      <w:r w:rsidRPr="00F327B2">
        <w:rPr>
          <w:rFonts w:ascii="Arial" w:hAnsi="Arial" w:cs="Arial"/>
          <w:iCs/>
        </w:rPr>
        <w:t xml:space="preserve"> central </w:t>
      </w:r>
      <w:r w:rsidR="00AD4C12">
        <w:rPr>
          <w:rFonts w:ascii="Arial" w:hAnsi="Arial" w:cs="Arial"/>
          <w:iCs/>
        </w:rPr>
        <w:t>to</w:t>
      </w:r>
      <w:r w:rsidRPr="00F327B2">
        <w:rPr>
          <w:rFonts w:ascii="Arial" w:hAnsi="Arial" w:cs="Arial"/>
          <w:iCs/>
        </w:rPr>
        <w:t xml:space="preserve"> the Settlement, but </w:t>
      </w:r>
      <w:r w:rsidR="00782093">
        <w:rPr>
          <w:rFonts w:ascii="Arial" w:hAnsi="Arial" w:cs="Arial"/>
          <w:iCs/>
        </w:rPr>
        <w:t xml:space="preserve">is </w:t>
      </w:r>
      <w:r w:rsidR="003E556F">
        <w:rPr>
          <w:rFonts w:ascii="Arial" w:hAnsi="Arial" w:cs="Arial"/>
          <w:iCs/>
        </w:rPr>
        <w:t xml:space="preserve">also </w:t>
      </w:r>
      <w:r w:rsidR="00782093">
        <w:rPr>
          <w:rFonts w:ascii="Arial" w:hAnsi="Arial" w:cs="Arial"/>
          <w:iCs/>
        </w:rPr>
        <w:t>stand-alone legislation</w:t>
      </w:r>
      <w:r w:rsidR="00782093" w:rsidRPr="00F327B2">
        <w:rPr>
          <w:rFonts w:ascii="Arial" w:hAnsi="Arial" w:cs="Arial"/>
          <w:iCs/>
        </w:rPr>
        <w:t xml:space="preserve"> </w:t>
      </w:r>
      <w:r w:rsidR="00782093">
        <w:rPr>
          <w:rFonts w:ascii="Arial" w:hAnsi="Arial" w:cs="Arial"/>
          <w:iCs/>
        </w:rPr>
        <w:t xml:space="preserve">that </w:t>
      </w:r>
      <w:r w:rsidRPr="00F327B2">
        <w:rPr>
          <w:rFonts w:ascii="Arial" w:hAnsi="Arial" w:cs="Arial"/>
          <w:iCs/>
        </w:rPr>
        <w:t xml:space="preserve">has greater significance than simply one element of a native title agreement. </w:t>
      </w:r>
    </w:p>
    <w:p w:rsidR="00D0463D" w:rsidRDefault="00D0463D" w:rsidP="00F327B2">
      <w:pPr>
        <w:spacing w:after="0"/>
        <w:jc w:val="both"/>
        <w:rPr>
          <w:rFonts w:ascii="Arial" w:hAnsi="Arial" w:cs="Arial"/>
          <w:iCs/>
        </w:rPr>
      </w:pPr>
    </w:p>
    <w:p w:rsidR="00D0463D" w:rsidRDefault="00D0463D" w:rsidP="00D0463D">
      <w:pPr>
        <w:jc w:val="both"/>
        <w:rPr>
          <w:rFonts w:ascii="Arial" w:hAnsi="Arial" w:cs="Arial"/>
          <w:iCs/>
        </w:rPr>
      </w:pPr>
      <w:r>
        <w:rPr>
          <w:rFonts w:ascii="Arial" w:hAnsi="Arial" w:cs="Arial"/>
          <w:iCs/>
        </w:rPr>
        <w:t xml:space="preserve">WA Premier Colin Barnett conveyed the significance of the </w:t>
      </w:r>
      <w:r w:rsidR="00782093">
        <w:rPr>
          <w:rFonts w:ascii="Arial" w:hAnsi="Arial" w:cs="Arial"/>
          <w:iCs/>
        </w:rPr>
        <w:t xml:space="preserve">Act </w:t>
      </w:r>
      <w:r>
        <w:rPr>
          <w:rFonts w:ascii="Arial" w:hAnsi="Arial" w:cs="Arial"/>
          <w:iCs/>
        </w:rPr>
        <w:t xml:space="preserve">when he stated: </w:t>
      </w:r>
    </w:p>
    <w:p w:rsidR="003E556F" w:rsidRPr="00F327B2" w:rsidRDefault="00D0463D" w:rsidP="003E556F">
      <w:pPr>
        <w:spacing w:after="0"/>
        <w:ind w:left="720"/>
        <w:jc w:val="both"/>
        <w:rPr>
          <w:rFonts w:ascii="Arial" w:hAnsi="Arial" w:cs="Arial"/>
          <w:iCs/>
        </w:rPr>
      </w:pPr>
      <w:r w:rsidRPr="00D0463D">
        <w:rPr>
          <w:rFonts w:ascii="Arial" w:hAnsi="Arial" w:cs="Arial"/>
          <w:i/>
          <w:iCs/>
        </w:rPr>
        <w:t>“It brings me great pride that this Parliament has enacted legislation enshrining the Noongar People as the traditional owners of the land in the South-West.  This is an overdue and historic recognition of the significant contributions Noongar People have and continue to make to our State. It is one of the most rewarding events that I have been able to participate in as Premier.”</w:t>
      </w:r>
      <w:r>
        <w:rPr>
          <w:rFonts w:ascii="Arial" w:hAnsi="Arial" w:cs="Arial"/>
          <w:sz w:val="24"/>
          <w:szCs w:val="24"/>
        </w:rPr>
        <w:t xml:space="preserve"> </w:t>
      </w:r>
    </w:p>
    <w:p w:rsidR="003E556F" w:rsidRDefault="003E556F" w:rsidP="00F327B2">
      <w:pPr>
        <w:spacing w:after="0"/>
        <w:jc w:val="both"/>
        <w:rPr>
          <w:rFonts w:ascii="Arial" w:hAnsi="Arial" w:cs="Arial"/>
          <w:iCs/>
        </w:rPr>
      </w:pPr>
    </w:p>
    <w:p w:rsidR="00F327B2" w:rsidRPr="00F327B2" w:rsidRDefault="00AD4C12" w:rsidP="00F327B2">
      <w:pPr>
        <w:spacing w:after="0"/>
        <w:jc w:val="both"/>
        <w:rPr>
          <w:rFonts w:ascii="Arial" w:hAnsi="Arial" w:cs="Arial"/>
          <w:iCs/>
        </w:rPr>
      </w:pPr>
      <w:r>
        <w:rPr>
          <w:rFonts w:ascii="Arial" w:hAnsi="Arial" w:cs="Arial"/>
          <w:iCs/>
        </w:rPr>
        <w:t>We encourage</w:t>
      </w:r>
      <w:r w:rsidR="00F327B2">
        <w:rPr>
          <w:rFonts w:ascii="Arial" w:hAnsi="Arial" w:cs="Arial"/>
          <w:iCs/>
        </w:rPr>
        <w:t xml:space="preserve"> all stakeholders </w:t>
      </w:r>
      <w:r w:rsidR="00F327B2" w:rsidRPr="00F327B2">
        <w:rPr>
          <w:rFonts w:ascii="Arial" w:hAnsi="Arial" w:cs="Arial"/>
          <w:iCs/>
        </w:rPr>
        <w:t xml:space="preserve">to promote awareness of, and celebrate the significance of this Act, for example as part of NAIDOC week celebrations (3-10 July 2016).  </w:t>
      </w:r>
    </w:p>
    <w:p w:rsidR="00F327B2" w:rsidRPr="00F327B2" w:rsidRDefault="00F327B2" w:rsidP="00F327B2">
      <w:pPr>
        <w:spacing w:after="0"/>
        <w:jc w:val="both"/>
        <w:rPr>
          <w:rFonts w:ascii="Arial" w:hAnsi="Arial" w:cs="Arial"/>
          <w:iCs/>
        </w:rPr>
      </w:pPr>
    </w:p>
    <w:p w:rsidR="00F327B2" w:rsidRDefault="00F327B2" w:rsidP="00F327B2">
      <w:pPr>
        <w:spacing w:after="0"/>
        <w:jc w:val="both"/>
        <w:rPr>
          <w:rFonts w:ascii="Arial" w:hAnsi="Arial" w:cs="Arial"/>
        </w:rPr>
      </w:pPr>
      <w:r w:rsidRPr="00F327B2">
        <w:rPr>
          <w:rFonts w:ascii="Arial" w:hAnsi="Arial" w:cs="Arial"/>
          <w:iCs/>
        </w:rPr>
        <w:t xml:space="preserve">To assist in promoting awareness, an </w:t>
      </w:r>
      <w:r w:rsidR="003E556F">
        <w:rPr>
          <w:rFonts w:ascii="Arial" w:hAnsi="Arial" w:cs="Arial"/>
          <w:iCs/>
        </w:rPr>
        <w:t>I</w:t>
      </w:r>
      <w:r w:rsidRPr="00F327B2">
        <w:rPr>
          <w:rFonts w:ascii="Arial" w:hAnsi="Arial" w:cs="Arial"/>
          <w:iCs/>
        </w:rPr>
        <w:t xml:space="preserve">nformation </w:t>
      </w:r>
      <w:r w:rsidR="003E556F">
        <w:rPr>
          <w:rFonts w:ascii="Arial" w:hAnsi="Arial" w:cs="Arial"/>
          <w:iCs/>
        </w:rPr>
        <w:t>P</w:t>
      </w:r>
      <w:r w:rsidRPr="00F327B2">
        <w:rPr>
          <w:rFonts w:ascii="Arial" w:hAnsi="Arial" w:cs="Arial"/>
          <w:iCs/>
        </w:rPr>
        <w:t>ack</w:t>
      </w:r>
      <w:r>
        <w:rPr>
          <w:rFonts w:ascii="Arial" w:hAnsi="Arial" w:cs="Arial"/>
          <w:iCs/>
        </w:rPr>
        <w:t xml:space="preserve"> </w:t>
      </w:r>
      <w:r w:rsidRPr="00F327B2">
        <w:rPr>
          <w:rFonts w:ascii="Arial" w:hAnsi="Arial" w:cs="Arial"/>
          <w:iCs/>
        </w:rPr>
        <w:t xml:space="preserve">is now available on the </w:t>
      </w:r>
      <w:r w:rsidR="003E556F">
        <w:rPr>
          <w:rFonts w:ascii="Arial" w:hAnsi="Arial" w:cs="Arial"/>
          <w:iCs/>
        </w:rPr>
        <w:t>Department of the Premier and Cabinet (</w:t>
      </w:r>
      <w:r>
        <w:rPr>
          <w:rFonts w:ascii="Arial" w:hAnsi="Arial" w:cs="Arial"/>
          <w:iCs/>
        </w:rPr>
        <w:t>DPC</w:t>
      </w:r>
      <w:r w:rsidR="003E556F">
        <w:rPr>
          <w:rFonts w:ascii="Arial" w:hAnsi="Arial" w:cs="Arial"/>
          <w:iCs/>
        </w:rPr>
        <w:t>)</w:t>
      </w:r>
      <w:r w:rsidRPr="00F327B2">
        <w:rPr>
          <w:rFonts w:ascii="Arial" w:hAnsi="Arial" w:cs="Arial"/>
          <w:iCs/>
        </w:rPr>
        <w:t xml:space="preserve"> </w:t>
      </w:r>
      <w:hyperlink r:id="rId11" w:history="1">
        <w:r w:rsidRPr="00C16D1E">
          <w:rPr>
            <w:rStyle w:val="Hyperlink"/>
            <w:rFonts w:ascii="Arial" w:hAnsi="Arial" w:cs="Arial"/>
            <w:iCs/>
          </w:rPr>
          <w:t>website</w:t>
        </w:r>
      </w:hyperlink>
      <w:r w:rsidR="005D3A4A">
        <w:rPr>
          <w:rFonts w:ascii="Arial" w:hAnsi="Arial" w:cs="Arial"/>
          <w:iCs/>
        </w:rPr>
        <w:t>.</w:t>
      </w:r>
    </w:p>
    <w:p w:rsidR="009552CC" w:rsidRDefault="009552CC" w:rsidP="000D3BCF">
      <w:pPr>
        <w:spacing w:after="0" w:line="240" w:lineRule="auto"/>
        <w:jc w:val="both"/>
        <w:rPr>
          <w:rFonts w:ascii="MyriadPro-Semibold" w:hAnsi="MyriadPro-Semibold" w:cs="MyriadPro-Semibold"/>
          <w:color w:val="026694"/>
          <w:sz w:val="34"/>
          <w:szCs w:val="34"/>
        </w:rPr>
      </w:pPr>
    </w:p>
    <w:p w:rsidR="00D60487" w:rsidRPr="001002CE" w:rsidRDefault="001002CE" w:rsidP="00D60487">
      <w:pPr>
        <w:rPr>
          <w:rFonts w:ascii="Arial" w:hAnsi="Arial" w:cs="Arial"/>
          <w:iCs/>
          <w:sz w:val="24"/>
          <w:szCs w:val="24"/>
        </w:rPr>
      </w:pPr>
      <w:r>
        <w:rPr>
          <w:rFonts w:ascii="Arial" w:hAnsi="Arial" w:cs="Arial"/>
          <w:color w:val="026694"/>
          <w:sz w:val="34"/>
          <w:szCs w:val="34"/>
        </w:rPr>
        <w:t>Proclamation of</w:t>
      </w:r>
      <w:r w:rsidR="00B82787">
        <w:rPr>
          <w:rFonts w:ascii="Arial" w:hAnsi="Arial" w:cs="Arial"/>
          <w:color w:val="026694"/>
          <w:sz w:val="34"/>
          <w:szCs w:val="34"/>
        </w:rPr>
        <w:t xml:space="preserve"> the</w:t>
      </w:r>
      <w:r>
        <w:rPr>
          <w:rFonts w:ascii="Arial" w:hAnsi="Arial" w:cs="Arial"/>
          <w:color w:val="026694"/>
          <w:sz w:val="34"/>
          <w:szCs w:val="34"/>
        </w:rPr>
        <w:t xml:space="preserve"> </w:t>
      </w:r>
      <w:r w:rsidR="00D60487" w:rsidRPr="001002CE">
        <w:rPr>
          <w:rFonts w:ascii="Arial" w:hAnsi="Arial" w:cs="Arial"/>
          <w:i/>
          <w:color w:val="026694"/>
          <w:sz w:val="34"/>
          <w:szCs w:val="34"/>
        </w:rPr>
        <w:t>Land Administration (South West Native Title Settlement) Act 2016</w:t>
      </w:r>
      <w:r w:rsidR="00D60487" w:rsidRPr="001002CE">
        <w:rPr>
          <w:rFonts w:ascii="Arial" w:hAnsi="Arial" w:cs="Arial"/>
          <w:i/>
          <w:iCs/>
          <w:sz w:val="24"/>
          <w:szCs w:val="24"/>
        </w:rPr>
        <w:t xml:space="preserve"> </w:t>
      </w:r>
    </w:p>
    <w:p w:rsidR="00E07271" w:rsidRDefault="00D60487" w:rsidP="00E07271">
      <w:pPr>
        <w:spacing w:after="0"/>
        <w:jc w:val="both"/>
        <w:rPr>
          <w:rFonts w:ascii="Arial" w:hAnsi="Arial" w:cs="Arial"/>
          <w:iCs/>
        </w:rPr>
      </w:pPr>
      <w:r w:rsidRPr="00E07271">
        <w:rPr>
          <w:rFonts w:ascii="Arial" w:hAnsi="Arial" w:cs="Arial"/>
          <w:iCs/>
        </w:rPr>
        <w:t xml:space="preserve">The </w:t>
      </w:r>
      <w:r w:rsidRPr="00E07271">
        <w:rPr>
          <w:rFonts w:ascii="Arial" w:hAnsi="Arial" w:cs="Arial"/>
          <w:i/>
          <w:iCs/>
        </w:rPr>
        <w:t>Land Administration (South West Native Title Settlement) Act 2016</w:t>
      </w:r>
      <w:r w:rsidRPr="00E07271">
        <w:rPr>
          <w:rFonts w:ascii="Arial" w:hAnsi="Arial" w:cs="Arial"/>
          <w:iCs/>
        </w:rPr>
        <w:t xml:space="preserve">, also proclaimed on 6 June 2016, </w:t>
      </w:r>
      <w:r w:rsidR="00AD4C12">
        <w:rPr>
          <w:rFonts w:ascii="Arial" w:hAnsi="Arial" w:cs="Arial"/>
          <w:iCs/>
        </w:rPr>
        <w:t>provides</w:t>
      </w:r>
      <w:r w:rsidRPr="00E07271">
        <w:rPr>
          <w:rFonts w:ascii="Arial" w:hAnsi="Arial" w:cs="Arial"/>
          <w:iCs/>
        </w:rPr>
        <w:t xml:space="preserve"> for the </w:t>
      </w:r>
      <w:r w:rsidR="00AD4C12">
        <w:rPr>
          <w:rFonts w:ascii="Arial" w:hAnsi="Arial" w:cs="Arial"/>
          <w:iCs/>
        </w:rPr>
        <w:t>implementation</w:t>
      </w:r>
      <w:r w:rsidR="00AD4C12" w:rsidRPr="00E07271">
        <w:rPr>
          <w:rFonts w:ascii="Arial" w:hAnsi="Arial" w:cs="Arial"/>
          <w:iCs/>
        </w:rPr>
        <w:t xml:space="preserve"> </w:t>
      </w:r>
      <w:r w:rsidRPr="00E07271">
        <w:rPr>
          <w:rFonts w:ascii="Arial" w:hAnsi="Arial" w:cs="Arial"/>
          <w:iCs/>
        </w:rPr>
        <w:t>of specific land-related provisions in the Settlement</w:t>
      </w:r>
      <w:r w:rsidR="00E07271" w:rsidRPr="00E07271">
        <w:rPr>
          <w:rFonts w:ascii="Arial" w:hAnsi="Arial" w:cs="Arial"/>
          <w:iCs/>
        </w:rPr>
        <w:t xml:space="preserve">. These include the </w:t>
      </w:r>
      <w:r w:rsidR="00B865F6" w:rsidRPr="00E07271">
        <w:rPr>
          <w:rFonts w:ascii="Arial" w:hAnsi="Arial" w:cs="Arial"/>
          <w:iCs/>
        </w:rPr>
        <w:t>implementation of a Land Base Strategy for the creation of the Noongar Land Estate</w:t>
      </w:r>
      <w:r w:rsidR="00E07271">
        <w:rPr>
          <w:rFonts w:ascii="Arial" w:hAnsi="Arial" w:cs="Arial"/>
          <w:iCs/>
        </w:rPr>
        <w:t>,</w:t>
      </w:r>
      <w:r w:rsidR="00E07271" w:rsidRPr="00E07271">
        <w:rPr>
          <w:rFonts w:ascii="Arial" w:hAnsi="Arial" w:cs="Arial"/>
          <w:iCs/>
        </w:rPr>
        <w:t xml:space="preserve"> and the granting of Land Access Licences</w:t>
      </w:r>
      <w:r w:rsidR="00916837">
        <w:rPr>
          <w:rFonts w:ascii="Arial" w:hAnsi="Arial" w:cs="Arial"/>
          <w:iCs/>
        </w:rPr>
        <w:t xml:space="preserve"> to the six Noongar Regional Corporations</w:t>
      </w:r>
      <w:r w:rsidR="00E07271" w:rsidRPr="00E07271">
        <w:rPr>
          <w:rFonts w:ascii="Arial" w:hAnsi="Arial" w:cs="Arial"/>
          <w:iCs/>
        </w:rPr>
        <w:t xml:space="preserve">.  </w:t>
      </w:r>
    </w:p>
    <w:p w:rsidR="00E07271" w:rsidRDefault="00E07271" w:rsidP="00E07271">
      <w:pPr>
        <w:spacing w:after="0"/>
        <w:jc w:val="both"/>
        <w:rPr>
          <w:rFonts w:ascii="Arial" w:hAnsi="Arial" w:cs="Arial"/>
          <w:iCs/>
        </w:rPr>
      </w:pPr>
    </w:p>
    <w:p w:rsidR="00AD4C12" w:rsidRDefault="00B865F6" w:rsidP="00E07271">
      <w:pPr>
        <w:spacing w:after="0"/>
        <w:jc w:val="both"/>
        <w:rPr>
          <w:rFonts w:ascii="Arial" w:hAnsi="Arial" w:cs="Arial"/>
          <w:iCs/>
        </w:rPr>
      </w:pPr>
      <w:r w:rsidRPr="00E07271">
        <w:rPr>
          <w:rFonts w:ascii="Arial" w:hAnsi="Arial" w:cs="Arial"/>
          <w:iCs/>
        </w:rPr>
        <w:t>The Noongar Land Estate</w:t>
      </w:r>
      <w:r w:rsidR="00CB2609">
        <w:rPr>
          <w:rFonts w:ascii="Arial" w:hAnsi="Arial" w:cs="Arial"/>
          <w:iCs/>
        </w:rPr>
        <w:t xml:space="preserve">, drawn primarily from existing unallocated </w:t>
      </w:r>
      <w:r w:rsidR="00FF2ED2">
        <w:rPr>
          <w:rFonts w:ascii="Arial" w:hAnsi="Arial" w:cs="Arial"/>
          <w:iCs/>
        </w:rPr>
        <w:t>C</w:t>
      </w:r>
      <w:r w:rsidR="00CB2609">
        <w:rPr>
          <w:rFonts w:ascii="Arial" w:hAnsi="Arial" w:cs="Arial"/>
          <w:iCs/>
        </w:rPr>
        <w:t>rown land and unmanaged reserve</w:t>
      </w:r>
      <w:r w:rsidR="00AD4C12">
        <w:rPr>
          <w:rFonts w:ascii="Arial" w:hAnsi="Arial" w:cs="Arial"/>
          <w:iCs/>
        </w:rPr>
        <w:t>s</w:t>
      </w:r>
      <w:r w:rsidR="00CB2609">
        <w:rPr>
          <w:rFonts w:ascii="Arial" w:hAnsi="Arial" w:cs="Arial"/>
          <w:iCs/>
        </w:rPr>
        <w:t>,</w:t>
      </w:r>
      <w:r w:rsidRPr="00E07271">
        <w:rPr>
          <w:rFonts w:ascii="Arial" w:hAnsi="Arial" w:cs="Arial"/>
          <w:iCs/>
        </w:rPr>
        <w:t xml:space="preserve"> will hold up to 300,000 hectares of reserve land and a maximum of 20,000 hectares of freehold land</w:t>
      </w:r>
      <w:r w:rsidR="00CB2609">
        <w:rPr>
          <w:rFonts w:ascii="Arial" w:hAnsi="Arial" w:cs="Arial"/>
          <w:iCs/>
        </w:rPr>
        <w:t xml:space="preserve"> for cultural or development purposes</w:t>
      </w:r>
      <w:r w:rsidR="00E07271">
        <w:rPr>
          <w:rFonts w:ascii="Arial" w:hAnsi="Arial" w:cs="Arial"/>
          <w:iCs/>
        </w:rPr>
        <w:t xml:space="preserve">.  </w:t>
      </w:r>
    </w:p>
    <w:p w:rsidR="00AD4C12" w:rsidRDefault="00AD4C12" w:rsidP="00E07271">
      <w:pPr>
        <w:spacing w:after="0"/>
        <w:jc w:val="both"/>
        <w:rPr>
          <w:rFonts w:ascii="Arial" w:hAnsi="Arial" w:cs="Arial"/>
          <w:iCs/>
        </w:rPr>
      </w:pPr>
    </w:p>
    <w:p w:rsidR="00E07271" w:rsidRPr="00E07271" w:rsidRDefault="00E07271" w:rsidP="00E07271">
      <w:pPr>
        <w:spacing w:after="0"/>
        <w:jc w:val="both"/>
        <w:rPr>
          <w:rFonts w:ascii="Arial" w:hAnsi="Arial" w:cs="Arial"/>
          <w:iCs/>
        </w:rPr>
      </w:pPr>
      <w:r>
        <w:rPr>
          <w:rFonts w:ascii="Arial" w:hAnsi="Arial" w:cs="Arial"/>
          <w:iCs/>
        </w:rPr>
        <w:t>L</w:t>
      </w:r>
      <w:r w:rsidRPr="00E07271">
        <w:rPr>
          <w:rFonts w:ascii="Arial" w:hAnsi="Arial" w:cs="Arial"/>
          <w:iCs/>
        </w:rPr>
        <w:t xml:space="preserve">and </w:t>
      </w:r>
      <w:r w:rsidR="003E556F">
        <w:rPr>
          <w:rFonts w:ascii="Arial" w:hAnsi="Arial" w:cs="Arial"/>
          <w:iCs/>
        </w:rPr>
        <w:t>A</w:t>
      </w:r>
      <w:r w:rsidRPr="00E07271">
        <w:rPr>
          <w:rFonts w:ascii="Arial" w:hAnsi="Arial" w:cs="Arial"/>
          <w:iCs/>
        </w:rPr>
        <w:t xml:space="preserve">ccess </w:t>
      </w:r>
      <w:r w:rsidR="003E556F">
        <w:rPr>
          <w:rFonts w:ascii="Arial" w:hAnsi="Arial" w:cs="Arial"/>
          <w:iCs/>
        </w:rPr>
        <w:t>L</w:t>
      </w:r>
      <w:r w:rsidRPr="00E07271">
        <w:rPr>
          <w:rFonts w:ascii="Arial" w:hAnsi="Arial" w:cs="Arial"/>
          <w:iCs/>
        </w:rPr>
        <w:t>icenses</w:t>
      </w:r>
      <w:r w:rsidR="00916837">
        <w:rPr>
          <w:rFonts w:ascii="Arial" w:hAnsi="Arial" w:cs="Arial"/>
          <w:iCs/>
        </w:rPr>
        <w:t xml:space="preserve"> held by the Noongar Regional Corporations</w:t>
      </w:r>
      <w:r w:rsidR="0099634F">
        <w:rPr>
          <w:rFonts w:ascii="Arial" w:hAnsi="Arial" w:cs="Arial"/>
          <w:iCs/>
        </w:rPr>
        <w:t>, once established,</w:t>
      </w:r>
      <w:r w:rsidRPr="00E07271">
        <w:rPr>
          <w:rFonts w:ascii="Arial" w:hAnsi="Arial" w:cs="Arial"/>
          <w:iCs/>
        </w:rPr>
        <w:t xml:space="preserve"> will give Noongar people </w:t>
      </w:r>
      <w:r w:rsidR="00AD4C12">
        <w:rPr>
          <w:rFonts w:ascii="Arial" w:hAnsi="Arial" w:cs="Arial"/>
          <w:iCs/>
        </w:rPr>
        <w:t>valid</w:t>
      </w:r>
      <w:r w:rsidRPr="00E07271">
        <w:rPr>
          <w:rFonts w:ascii="Arial" w:hAnsi="Arial" w:cs="Arial"/>
          <w:iCs/>
        </w:rPr>
        <w:t xml:space="preserve"> access</w:t>
      </w:r>
      <w:r w:rsidR="00AD4C12">
        <w:rPr>
          <w:rFonts w:ascii="Arial" w:hAnsi="Arial" w:cs="Arial"/>
          <w:iCs/>
        </w:rPr>
        <w:t xml:space="preserve"> to</w:t>
      </w:r>
      <w:r w:rsidRPr="00E07271">
        <w:rPr>
          <w:rFonts w:ascii="Arial" w:hAnsi="Arial" w:cs="Arial"/>
          <w:iCs/>
        </w:rPr>
        <w:t xml:space="preserve"> certain areas of unallocated Crown land for the practice of customary activities. </w:t>
      </w:r>
    </w:p>
    <w:p w:rsidR="00B865F6" w:rsidRDefault="00B865F6" w:rsidP="00B865F6">
      <w:pPr>
        <w:spacing w:after="0" w:line="240" w:lineRule="auto"/>
        <w:jc w:val="both"/>
        <w:rPr>
          <w:rFonts w:ascii="Arial" w:hAnsi="Arial" w:cs="Arial"/>
          <w:sz w:val="24"/>
          <w:szCs w:val="24"/>
          <w:lang w:eastAsia="en-AU"/>
        </w:rPr>
      </w:pPr>
    </w:p>
    <w:p w:rsidR="0080555F" w:rsidRPr="001D3131" w:rsidRDefault="00A950C4" w:rsidP="0080555F">
      <w:pPr>
        <w:spacing w:after="0" w:line="240" w:lineRule="auto"/>
        <w:jc w:val="both"/>
        <w:rPr>
          <w:rFonts w:ascii="Arial" w:hAnsi="Arial" w:cs="Arial"/>
          <w:color w:val="026694"/>
          <w:sz w:val="34"/>
          <w:szCs w:val="34"/>
        </w:rPr>
      </w:pPr>
      <w:r>
        <w:rPr>
          <w:rFonts w:ascii="Arial" w:hAnsi="Arial" w:cs="Arial"/>
          <w:color w:val="026694"/>
          <w:sz w:val="34"/>
          <w:szCs w:val="34"/>
        </w:rPr>
        <w:t>Gazettal of Water By-Law Amendments</w:t>
      </w:r>
      <w:r w:rsidR="0080555F" w:rsidRPr="001D3131">
        <w:rPr>
          <w:rFonts w:ascii="Arial" w:hAnsi="Arial" w:cs="Arial"/>
          <w:color w:val="026694"/>
          <w:sz w:val="34"/>
          <w:szCs w:val="34"/>
        </w:rPr>
        <w:t xml:space="preserve"> </w:t>
      </w:r>
    </w:p>
    <w:p w:rsidR="00B865F6" w:rsidRPr="00190034" w:rsidRDefault="00B865F6" w:rsidP="00190034">
      <w:pPr>
        <w:spacing w:after="0"/>
        <w:jc w:val="both"/>
        <w:rPr>
          <w:rFonts w:ascii="Arial" w:hAnsi="Arial" w:cs="Arial"/>
          <w:iCs/>
        </w:rPr>
      </w:pPr>
      <w:r w:rsidRPr="00190034">
        <w:rPr>
          <w:rFonts w:ascii="Arial" w:hAnsi="Arial" w:cs="Arial"/>
          <w:iCs/>
        </w:rPr>
        <w:t xml:space="preserve"> </w:t>
      </w:r>
    </w:p>
    <w:p w:rsidR="000C224A" w:rsidRDefault="007712F7" w:rsidP="00190034">
      <w:pPr>
        <w:spacing w:after="0"/>
        <w:jc w:val="both"/>
        <w:rPr>
          <w:rFonts w:ascii="Arial" w:hAnsi="Arial" w:cs="Arial"/>
          <w:iCs/>
        </w:rPr>
      </w:pPr>
      <w:r w:rsidRPr="00190034">
        <w:rPr>
          <w:rFonts w:ascii="Arial" w:hAnsi="Arial" w:cs="Arial"/>
          <w:iCs/>
        </w:rPr>
        <w:t>T</w:t>
      </w:r>
      <w:r w:rsidR="00D60487" w:rsidRPr="00190034">
        <w:rPr>
          <w:rFonts w:ascii="Arial" w:hAnsi="Arial" w:cs="Arial"/>
          <w:iCs/>
        </w:rPr>
        <w:t xml:space="preserve">he </w:t>
      </w:r>
      <w:r w:rsidR="00D60487" w:rsidRPr="00190034">
        <w:rPr>
          <w:rFonts w:ascii="Arial" w:hAnsi="Arial" w:cs="Arial"/>
          <w:i/>
          <w:iCs/>
        </w:rPr>
        <w:t>Metropolitan Water Supply, Sewerage, and Drainage Amendment By-Laws 2016</w:t>
      </w:r>
      <w:r w:rsidR="00190034">
        <w:rPr>
          <w:rFonts w:ascii="Arial" w:hAnsi="Arial" w:cs="Arial"/>
          <w:iCs/>
        </w:rPr>
        <w:t xml:space="preserve"> </w:t>
      </w:r>
      <w:r w:rsidR="00D60487" w:rsidRPr="00190034">
        <w:rPr>
          <w:rFonts w:ascii="Arial" w:hAnsi="Arial" w:cs="Arial"/>
          <w:iCs/>
        </w:rPr>
        <w:t xml:space="preserve">and the </w:t>
      </w:r>
      <w:r w:rsidR="00D60487" w:rsidRPr="00190034">
        <w:rPr>
          <w:rFonts w:ascii="Arial" w:hAnsi="Arial" w:cs="Arial"/>
          <w:i/>
          <w:iCs/>
        </w:rPr>
        <w:t xml:space="preserve">Country Areas Water Supply Amendment By-Laws 2016 </w:t>
      </w:r>
      <w:r w:rsidRPr="00190034">
        <w:rPr>
          <w:rFonts w:ascii="Arial" w:hAnsi="Arial" w:cs="Arial"/>
          <w:iCs/>
        </w:rPr>
        <w:t xml:space="preserve">were gazetted </w:t>
      </w:r>
      <w:r w:rsidR="00D60487" w:rsidRPr="00190034">
        <w:rPr>
          <w:rFonts w:ascii="Arial" w:hAnsi="Arial" w:cs="Arial"/>
          <w:iCs/>
        </w:rPr>
        <w:t>on 7 June 2016</w:t>
      </w:r>
      <w:r w:rsidRPr="00190034">
        <w:rPr>
          <w:rFonts w:ascii="Arial" w:hAnsi="Arial" w:cs="Arial"/>
          <w:iCs/>
        </w:rPr>
        <w:t>.</w:t>
      </w:r>
      <w:r w:rsidR="00A5197D">
        <w:rPr>
          <w:rFonts w:ascii="Arial" w:hAnsi="Arial" w:cs="Arial"/>
          <w:iCs/>
        </w:rPr>
        <w:t xml:space="preserve"> </w:t>
      </w:r>
      <w:r w:rsidR="000C224A" w:rsidRPr="00190034">
        <w:rPr>
          <w:rFonts w:ascii="Arial" w:hAnsi="Arial" w:cs="Arial"/>
          <w:iCs/>
        </w:rPr>
        <w:t>The</w:t>
      </w:r>
      <w:r w:rsidR="00FA2618" w:rsidRPr="00190034">
        <w:rPr>
          <w:rFonts w:ascii="Arial" w:hAnsi="Arial" w:cs="Arial"/>
          <w:iCs/>
        </w:rPr>
        <w:t xml:space="preserve"> </w:t>
      </w:r>
      <w:r w:rsidR="003E556F">
        <w:rPr>
          <w:rFonts w:ascii="Arial" w:hAnsi="Arial" w:cs="Arial"/>
          <w:iCs/>
        </w:rPr>
        <w:t>B</w:t>
      </w:r>
      <w:r w:rsidR="00FA2618" w:rsidRPr="00190034">
        <w:rPr>
          <w:rFonts w:ascii="Arial" w:hAnsi="Arial" w:cs="Arial"/>
          <w:iCs/>
        </w:rPr>
        <w:t>y-</w:t>
      </w:r>
      <w:r w:rsidR="003E556F">
        <w:rPr>
          <w:rFonts w:ascii="Arial" w:hAnsi="Arial" w:cs="Arial"/>
          <w:iCs/>
        </w:rPr>
        <w:t>L</w:t>
      </w:r>
      <w:r w:rsidR="00FA2618" w:rsidRPr="00190034">
        <w:rPr>
          <w:rFonts w:ascii="Arial" w:hAnsi="Arial" w:cs="Arial"/>
          <w:iCs/>
        </w:rPr>
        <w:t>aws</w:t>
      </w:r>
      <w:r w:rsidR="000C224A" w:rsidRPr="00190034">
        <w:rPr>
          <w:rFonts w:ascii="Arial" w:hAnsi="Arial" w:cs="Arial"/>
          <w:iCs/>
        </w:rPr>
        <w:t xml:space="preserve"> set out arrangements </w:t>
      </w:r>
      <w:r w:rsidR="00F80D12" w:rsidRPr="00190034">
        <w:rPr>
          <w:rFonts w:ascii="Arial" w:hAnsi="Arial" w:cs="Arial"/>
          <w:iCs/>
        </w:rPr>
        <w:t xml:space="preserve">for Noongar people </w:t>
      </w:r>
      <w:r w:rsidR="00FA2618" w:rsidRPr="00190034">
        <w:rPr>
          <w:rFonts w:ascii="Arial" w:hAnsi="Arial" w:cs="Arial"/>
          <w:iCs/>
        </w:rPr>
        <w:t>to</w:t>
      </w:r>
      <w:r w:rsidR="000C224A" w:rsidRPr="00190034">
        <w:rPr>
          <w:rFonts w:ascii="Arial" w:hAnsi="Arial" w:cs="Arial"/>
          <w:iCs/>
        </w:rPr>
        <w:t xml:space="preserve"> access</w:t>
      </w:r>
      <w:r w:rsidR="00FA2618" w:rsidRPr="00190034">
        <w:rPr>
          <w:rFonts w:ascii="Arial" w:hAnsi="Arial" w:cs="Arial"/>
          <w:iCs/>
        </w:rPr>
        <w:t xml:space="preserve"> some</w:t>
      </w:r>
      <w:r w:rsidR="000C224A" w:rsidRPr="00190034">
        <w:rPr>
          <w:rFonts w:ascii="Arial" w:hAnsi="Arial" w:cs="Arial"/>
          <w:iCs/>
        </w:rPr>
        <w:t xml:space="preserve"> water catchment areas </w:t>
      </w:r>
      <w:r w:rsidR="00FA2618" w:rsidRPr="00190034">
        <w:rPr>
          <w:rFonts w:ascii="Arial" w:hAnsi="Arial" w:cs="Arial"/>
          <w:iCs/>
        </w:rPr>
        <w:t>for</w:t>
      </w:r>
      <w:r w:rsidR="000C224A" w:rsidRPr="00190034">
        <w:rPr>
          <w:rFonts w:ascii="Arial" w:hAnsi="Arial" w:cs="Arial"/>
          <w:iCs/>
        </w:rPr>
        <w:t xml:space="preserve"> limited customary activities</w:t>
      </w:r>
      <w:r w:rsidR="00F80D12" w:rsidRPr="00190034">
        <w:rPr>
          <w:rFonts w:ascii="Arial" w:hAnsi="Arial" w:cs="Arial"/>
          <w:iCs/>
        </w:rPr>
        <w:t>,</w:t>
      </w:r>
      <w:r w:rsidR="000C224A" w:rsidRPr="00190034">
        <w:rPr>
          <w:rFonts w:ascii="Arial" w:hAnsi="Arial" w:cs="Arial"/>
          <w:iCs/>
        </w:rPr>
        <w:t xml:space="preserve"> </w:t>
      </w:r>
      <w:r w:rsidR="0099634F">
        <w:rPr>
          <w:rFonts w:ascii="Arial" w:hAnsi="Arial" w:cs="Arial"/>
          <w:iCs/>
        </w:rPr>
        <w:t>so that Noongar people can</w:t>
      </w:r>
      <w:r w:rsidR="000C224A" w:rsidRPr="00190034">
        <w:rPr>
          <w:rFonts w:ascii="Arial" w:hAnsi="Arial" w:cs="Arial"/>
          <w:iCs/>
        </w:rPr>
        <w:t xml:space="preserve"> </w:t>
      </w:r>
      <w:r w:rsidR="00FA2618" w:rsidRPr="00190034">
        <w:rPr>
          <w:rFonts w:ascii="Arial" w:hAnsi="Arial" w:cs="Arial"/>
          <w:iCs/>
        </w:rPr>
        <w:t>access</w:t>
      </w:r>
      <w:r w:rsidR="000C224A" w:rsidRPr="00190034">
        <w:rPr>
          <w:rFonts w:ascii="Arial" w:hAnsi="Arial" w:cs="Arial"/>
          <w:iCs/>
        </w:rPr>
        <w:t xml:space="preserve"> and maintain </w:t>
      </w:r>
      <w:r w:rsidR="00FA2618" w:rsidRPr="00190034">
        <w:rPr>
          <w:rFonts w:ascii="Arial" w:hAnsi="Arial" w:cs="Arial"/>
          <w:iCs/>
        </w:rPr>
        <w:t xml:space="preserve">Aboriginal </w:t>
      </w:r>
      <w:r w:rsidR="000C224A" w:rsidRPr="00190034">
        <w:rPr>
          <w:rFonts w:ascii="Arial" w:hAnsi="Arial" w:cs="Arial"/>
          <w:iCs/>
        </w:rPr>
        <w:t xml:space="preserve">sites and teach and learn on country. </w:t>
      </w:r>
    </w:p>
    <w:p w:rsidR="007712F7" w:rsidRPr="0011744F" w:rsidRDefault="001E656C" w:rsidP="007712F7">
      <w:pPr>
        <w:rPr>
          <w:rFonts w:ascii="Arial" w:hAnsi="Arial" w:cs="Arial"/>
          <w:color w:val="026694"/>
          <w:sz w:val="34"/>
          <w:szCs w:val="34"/>
        </w:rPr>
      </w:pPr>
      <w:r>
        <w:rPr>
          <w:rFonts w:ascii="Arial" w:hAnsi="Arial" w:cs="Arial"/>
          <w:color w:val="026694"/>
          <w:sz w:val="34"/>
          <w:szCs w:val="34"/>
        </w:rPr>
        <w:lastRenderedPageBreak/>
        <w:t xml:space="preserve">Conclusive </w:t>
      </w:r>
      <w:r w:rsidR="007712F7">
        <w:rPr>
          <w:rFonts w:ascii="Arial" w:hAnsi="Arial" w:cs="Arial"/>
          <w:color w:val="026694"/>
          <w:sz w:val="34"/>
          <w:szCs w:val="34"/>
        </w:rPr>
        <w:t xml:space="preserve">Registration </w:t>
      </w:r>
      <w:r>
        <w:rPr>
          <w:rFonts w:ascii="Arial" w:hAnsi="Arial" w:cs="Arial"/>
          <w:color w:val="026694"/>
          <w:sz w:val="34"/>
          <w:szCs w:val="34"/>
        </w:rPr>
        <w:t xml:space="preserve">of the ILUAs </w:t>
      </w:r>
    </w:p>
    <w:p w:rsidR="001E656C" w:rsidRDefault="001E656C" w:rsidP="001E656C">
      <w:pPr>
        <w:spacing w:after="0"/>
        <w:jc w:val="both"/>
        <w:rPr>
          <w:rFonts w:ascii="Arial" w:hAnsi="Arial" w:cs="Arial"/>
          <w:iCs/>
        </w:rPr>
      </w:pPr>
      <w:r>
        <w:rPr>
          <w:rFonts w:ascii="Arial" w:hAnsi="Arial" w:cs="Arial"/>
          <w:iCs/>
        </w:rPr>
        <w:t xml:space="preserve">Conclusive Registration of the six ILUAs is the remaining condition that needs to be met before the Settlement can commence in full. </w:t>
      </w:r>
    </w:p>
    <w:p w:rsidR="004E5FAD" w:rsidRDefault="004E5FAD" w:rsidP="007712F7">
      <w:pPr>
        <w:spacing w:after="0"/>
        <w:jc w:val="both"/>
        <w:rPr>
          <w:rFonts w:ascii="Arial" w:hAnsi="Arial" w:cs="Arial"/>
          <w:iCs/>
        </w:rPr>
      </w:pPr>
    </w:p>
    <w:p w:rsidR="001E656C" w:rsidRDefault="001E656C" w:rsidP="007712F7">
      <w:pPr>
        <w:spacing w:after="0"/>
        <w:jc w:val="both"/>
        <w:rPr>
          <w:rFonts w:ascii="Arial" w:hAnsi="Arial" w:cs="Arial"/>
          <w:iCs/>
        </w:rPr>
      </w:pPr>
      <w:r>
        <w:rPr>
          <w:rFonts w:ascii="Arial" w:hAnsi="Arial" w:cs="Arial"/>
          <w:iCs/>
        </w:rPr>
        <w:t xml:space="preserve">At this stage the ILUAs are still progressing through the Registration process. </w:t>
      </w:r>
      <w:r w:rsidR="007712F7" w:rsidRPr="00AF7A1E">
        <w:rPr>
          <w:rFonts w:ascii="Arial" w:hAnsi="Arial" w:cs="Arial"/>
          <w:iCs/>
        </w:rPr>
        <w:t xml:space="preserve">Following a notification period from 16 September to 16 December 2015, the National Native Title Tribunal </w:t>
      </w:r>
      <w:r w:rsidR="004E5FAD">
        <w:rPr>
          <w:rFonts w:ascii="Arial" w:hAnsi="Arial" w:cs="Arial"/>
          <w:iCs/>
        </w:rPr>
        <w:t xml:space="preserve">(NNTT) </w:t>
      </w:r>
      <w:r w:rsidR="007712F7" w:rsidRPr="00AF7A1E">
        <w:rPr>
          <w:rFonts w:ascii="Arial" w:hAnsi="Arial" w:cs="Arial"/>
          <w:iCs/>
        </w:rPr>
        <w:t>received 107 objections across the 6 ILUA areas from</w:t>
      </w:r>
      <w:r>
        <w:rPr>
          <w:rFonts w:ascii="Arial" w:hAnsi="Arial" w:cs="Arial"/>
          <w:iCs/>
        </w:rPr>
        <w:t xml:space="preserve"> a total</w:t>
      </w:r>
      <w:r w:rsidR="007712F7" w:rsidRPr="00AF7A1E">
        <w:rPr>
          <w:rFonts w:ascii="Arial" w:hAnsi="Arial" w:cs="Arial"/>
          <w:iCs/>
        </w:rPr>
        <w:t xml:space="preserve"> 25 objectors.  </w:t>
      </w:r>
      <w:r>
        <w:rPr>
          <w:rFonts w:ascii="Arial" w:hAnsi="Arial" w:cs="Arial"/>
          <w:iCs/>
        </w:rPr>
        <w:t>A procedural fairness procedure applies whereby t</w:t>
      </w:r>
      <w:r w:rsidR="007712F7" w:rsidRPr="00AF7A1E">
        <w:rPr>
          <w:rFonts w:ascii="Arial" w:hAnsi="Arial" w:cs="Arial"/>
          <w:iCs/>
        </w:rPr>
        <w:t xml:space="preserve">he State and </w:t>
      </w:r>
      <w:r w:rsidR="00530B00">
        <w:rPr>
          <w:rFonts w:ascii="Arial" w:hAnsi="Arial" w:cs="Arial"/>
          <w:iCs/>
        </w:rPr>
        <w:t>the South West Aboriginal Land and Sea Council (</w:t>
      </w:r>
      <w:r w:rsidR="007712F7" w:rsidRPr="00AF7A1E">
        <w:rPr>
          <w:rFonts w:ascii="Arial" w:hAnsi="Arial" w:cs="Arial"/>
          <w:iCs/>
        </w:rPr>
        <w:t>SWALSC</w:t>
      </w:r>
      <w:r w:rsidR="00530B00">
        <w:rPr>
          <w:rFonts w:ascii="Arial" w:hAnsi="Arial" w:cs="Arial"/>
          <w:iCs/>
        </w:rPr>
        <w:t>)</w:t>
      </w:r>
      <w:r w:rsidR="007712F7" w:rsidRPr="00AF7A1E">
        <w:rPr>
          <w:rFonts w:ascii="Arial" w:hAnsi="Arial" w:cs="Arial"/>
          <w:iCs/>
        </w:rPr>
        <w:t xml:space="preserve"> provided responses to these objections in April 2016, and the objectors now have the opportunity to consider and respond. </w:t>
      </w:r>
    </w:p>
    <w:p w:rsidR="001E656C" w:rsidRDefault="001E656C" w:rsidP="007712F7">
      <w:pPr>
        <w:spacing w:after="0"/>
        <w:jc w:val="both"/>
        <w:rPr>
          <w:rFonts w:ascii="Arial" w:hAnsi="Arial" w:cs="Arial"/>
          <w:iCs/>
        </w:rPr>
      </w:pPr>
    </w:p>
    <w:p w:rsidR="007712F7" w:rsidRDefault="007712F7" w:rsidP="007712F7">
      <w:pPr>
        <w:spacing w:after="0"/>
        <w:jc w:val="both"/>
        <w:rPr>
          <w:rFonts w:ascii="Arial" w:hAnsi="Arial" w:cs="Arial"/>
          <w:iCs/>
        </w:rPr>
      </w:pPr>
      <w:r w:rsidRPr="00AF7A1E">
        <w:rPr>
          <w:rFonts w:ascii="Arial" w:hAnsi="Arial" w:cs="Arial"/>
          <w:iCs/>
        </w:rPr>
        <w:t xml:space="preserve">After procedural fairness processes have been completed, the NNTT Registrar will </w:t>
      </w:r>
      <w:r w:rsidR="004E5FAD">
        <w:rPr>
          <w:rFonts w:ascii="Arial" w:hAnsi="Arial" w:cs="Arial"/>
          <w:iCs/>
        </w:rPr>
        <w:t xml:space="preserve">consider all of the information provided and </w:t>
      </w:r>
      <w:r w:rsidR="001E656C">
        <w:rPr>
          <w:rFonts w:ascii="Arial" w:hAnsi="Arial" w:cs="Arial"/>
          <w:iCs/>
        </w:rPr>
        <w:t>determine</w:t>
      </w:r>
      <w:r w:rsidR="001E656C" w:rsidRPr="00AF7A1E">
        <w:rPr>
          <w:rFonts w:ascii="Arial" w:hAnsi="Arial" w:cs="Arial"/>
          <w:iCs/>
        </w:rPr>
        <w:t xml:space="preserve"> </w:t>
      </w:r>
      <w:r w:rsidRPr="00AF7A1E">
        <w:rPr>
          <w:rFonts w:ascii="Arial" w:hAnsi="Arial" w:cs="Arial"/>
          <w:iCs/>
        </w:rPr>
        <w:t xml:space="preserve">whether the ILUAs can be registered.  </w:t>
      </w:r>
      <w:r w:rsidR="001E656C">
        <w:rPr>
          <w:rFonts w:ascii="Arial" w:hAnsi="Arial" w:cs="Arial"/>
          <w:iCs/>
        </w:rPr>
        <w:t>It is possible that a</w:t>
      </w:r>
      <w:r>
        <w:rPr>
          <w:rFonts w:ascii="Arial" w:hAnsi="Arial" w:cs="Arial"/>
          <w:iCs/>
        </w:rPr>
        <w:t xml:space="preserve">pplications for judicial review of </w:t>
      </w:r>
      <w:r w:rsidR="00FF47A3">
        <w:rPr>
          <w:rFonts w:ascii="Arial" w:hAnsi="Arial" w:cs="Arial"/>
          <w:iCs/>
        </w:rPr>
        <w:t xml:space="preserve">the Registrar’s </w:t>
      </w:r>
      <w:r>
        <w:rPr>
          <w:rFonts w:ascii="Arial" w:hAnsi="Arial" w:cs="Arial"/>
          <w:iCs/>
        </w:rPr>
        <w:t xml:space="preserve">decisions may then be </w:t>
      </w:r>
      <w:r w:rsidR="004E5FAD">
        <w:rPr>
          <w:rFonts w:ascii="Arial" w:hAnsi="Arial" w:cs="Arial"/>
          <w:iCs/>
        </w:rPr>
        <w:t>filed</w:t>
      </w:r>
      <w:r w:rsidR="001E656C">
        <w:rPr>
          <w:rFonts w:ascii="Arial" w:hAnsi="Arial" w:cs="Arial"/>
          <w:iCs/>
        </w:rPr>
        <w:t xml:space="preserve"> by objectors</w:t>
      </w:r>
      <w:r>
        <w:rPr>
          <w:rFonts w:ascii="Arial" w:hAnsi="Arial" w:cs="Arial"/>
          <w:iCs/>
        </w:rPr>
        <w:t xml:space="preserve">.  </w:t>
      </w:r>
    </w:p>
    <w:p w:rsidR="004E5FAD" w:rsidRPr="009474DD" w:rsidRDefault="004E5FAD" w:rsidP="007712F7">
      <w:pPr>
        <w:spacing w:after="0"/>
        <w:jc w:val="both"/>
        <w:rPr>
          <w:rFonts w:ascii="Arial" w:hAnsi="Arial" w:cs="Arial"/>
          <w:iCs/>
        </w:rPr>
      </w:pPr>
    </w:p>
    <w:p w:rsidR="007712F7" w:rsidRDefault="007712F7" w:rsidP="004E5FAD">
      <w:pPr>
        <w:spacing w:after="0"/>
        <w:jc w:val="both"/>
        <w:rPr>
          <w:rFonts w:ascii="Arial" w:hAnsi="Arial" w:cs="Arial"/>
          <w:iCs/>
        </w:rPr>
      </w:pPr>
      <w:r w:rsidRPr="004E5FAD">
        <w:rPr>
          <w:rFonts w:ascii="Arial" w:hAnsi="Arial" w:cs="Arial"/>
          <w:iCs/>
        </w:rPr>
        <w:t>Separately</w:t>
      </w:r>
      <w:r w:rsidR="004E5FAD">
        <w:rPr>
          <w:rFonts w:ascii="Arial" w:hAnsi="Arial" w:cs="Arial"/>
          <w:iCs/>
        </w:rPr>
        <w:t>,</w:t>
      </w:r>
      <w:r w:rsidRPr="004E5FAD">
        <w:rPr>
          <w:rFonts w:ascii="Arial" w:hAnsi="Arial" w:cs="Arial"/>
          <w:iCs/>
        </w:rPr>
        <w:t xml:space="preserve"> four High Court applications </w:t>
      </w:r>
      <w:r w:rsidR="004E5FAD">
        <w:rPr>
          <w:rFonts w:ascii="Arial" w:hAnsi="Arial" w:cs="Arial"/>
          <w:iCs/>
        </w:rPr>
        <w:t>were</w:t>
      </w:r>
      <w:r w:rsidRPr="004E5FAD">
        <w:rPr>
          <w:rFonts w:ascii="Arial" w:hAnsi="Arial" w:cs="Arial"/>
          <w:iCs/>
        </w:rPr>
        <w:t xml:space="preserve"> commenced </w:t>
      </w:r>
      <w:r w:rsidR="004E5FAD">
        <w:rPr>
          <w:rFonts w:ascii="Arial" w:hAnsi="Arial" w:cs="Arial"/>
          <w:iCs/>
        </w:rPr>
        <w:t xml:space="preserve">in </w:t>
      </w:r>
      <w:r w:rsidR="00857BC1">
        <w:rPr>
          <w:rFonts w:ascii="Arial" w:hAnsi="Arial" w:cs="Arial"/>
          <w:iCs/>
        </w:rPr>
        <w:t xml:space="preserve">December 2015 </w:t>
      </w:r>
      <w:r w:rsidRPr="004E5FAD">
        <w:rPr>
          <w:rFonts w:ascii="Arial" w:hAnsi="Arial" w:cs="Arial"/>
          <w:iCs/>
        </w:rPr>
        <w:t xml:space="preserve">against the Native Title Registrar and the parties to the ILUAs, including the State and SWALSC, seeking to prevent the </w:t>
      </w:r>
      <w:r w:rsidR="00FF47A3">
        <w:rPr>
          <w:rFonts w:ascii="Arial" w:hAnsi="Arial" w:cs="Arial"/>
          <w:iCs/>
        </w:rPr>
        <w:t>NNTT</w:t>
      </w:r>
      <w:r w:rsidRPr="004E5FAD">
        <w:rPr>
          <w:rFonts w:ascii="Arial" w:hAnsi="Arial" w:cs="Arial"/>
          <w:iCs/>
        </w:rPr>
        <w:t xml:space="preserve"> Registrar from registering </w:t>
      </w:r>
      <w:r w:rsidR="004E5FAD">
        <w:rPr>
          <w:rFonts w:ascii="Arial" w:hAnsi="Arial" w:cs="Arial"/>
          <w:iCs/>
        </w:rPr>
        <w:t xml:space="preserve">the Whadjuk, Ballardong, South West Boojarah #2 </w:t>
      </w:r>
      <w:r w:rsidRPr="004E5FAD">
        <w:rPr>
          <w:rFonts w:ascii="Arial" w:hAnsi="Arial" w:cs="Arial"/>
          <w:iCs/>
        </w:rPr>
        <w:t>an</w:t>
      </w:r>
      <w:r w:rsidR="004E5FAD">
        <w:rPr>
          <w:rFonts w:ascii="Arial" w:hAnsi="Arial" w:cs="Arial"/>
          <w:iCs/>
        </w:rPr>
        <w:t xml:space="preserve">d Wagyl Kaip &amp; Southern Noongar ILUAs </w:t>
      </w:r>
      <w:r w:rsidRPr="004E5FAD">
        <w:rPr>
          <w:rFonts w:ascii="Arial" w:hAnsi="Arial" w:cs="Arial"/>
          <w:iCs/>
        </w:rPr>
        <w:t xml:space="preserve">on the basis </w:t>
      </w:r>
      <w:r w:rsidR="004E5FAD">
        <w:rPr>
          <w:rFonts w:ascii="Arial" w:hAnsi="Arial" w:cs="Arial"/>
          <w:iCs/>
        </w:rPr>
        <w:t>that these four ILUAs are not "Indigenous L</w:t>
      </w:r>
      <w:r w:rsidRPr="004E5FAD">
        <w:rPr>
          <w:rFonts w:ascii="Arial" w:hAnsi="Arial" w:cs="Arial"/>
          <w:iCs/>
        </w:rPr>
        <w:t xml:space="preserve">and </w:t>
      </w:r>
      <w:r w:rsidR="004E5FAD">
        <w:rPr>
          <w:rFonts w:ascii="Arial" w:hAnsi="Arial" w:cs="Arial"/>
          <w:iCs/>
        </w:rPr>
        <w:t>U</w:t>
      </w:r>
      <w:r w:rsidRPr="004E5FAD">
        <w:rPr>
          <w:rFonts w:ascii="Arial" w:hAnsi="Arial" w:cs="Arial"/>
          <w:iCs/>
        </w:rPr>
        <w:t xml:space="preserve">se </w:t>
      </w:r>
      <w:r w:rsidR="004E5FAD">
        <w:rPr>
          <w:rFonts w:ascii="Arial" w:hAnsi="Arial" w:cs="Arial"/>
          <w:iCs/>
        </w:rPr>
        <w:t>A</w:t>
      </w:r>
      <w:r w:rsidRPr="004E5FAD">
        <w:rPr>
          <w:rFonts w:ascii="Arial" w:hAnsi="Arial" w:cs="Arial"/>
          <w:iCs/>
        </w:rPr>
        <w:t xml:space="preserve">greements" as defined in the </w:t>
      </w:r>
      <w:r w:rsidRPr="004E5FAD">
        <w:rPr>
          <w:rFonts w:ascii="Arial" w:hAnsi="Arial" w:cs="Arial"/>
          <w:i/>
          <w:iCs/>
        </w:rPr>
        <w:t>Native Title Act 1993</w:t>
      </w:r>
      <w:r w:rsidRPr="004E5FAD">
        <w:rPr>
          <w:rFonts w:ascii="Arial" w:hAnsi="Arial" w:cs="Arial"/>
          <w:iCs/>
        </w:rPr>
        <w:t xml:space="preserve">, and are therefore not capable of being registered. </w:t>
      </w:r>
      <w:r w:rsidR="00406554">
        <w:rPr>
          <w:rFonts w:ascii="Arial" w:hAnsi="Arial" w:cs="Arial"/>
          <w:iCs/>
        </w:rPr>
        <w:t xml:space="preserve"> </w:t>
      </w:r>
      <w:r w:rsidRPr="004E5FAD">
        <w:rPr>
          <w:rFonts w:ascii="Arial" w:hAnsi="Arial" w:cs="Arial"/>
          <w:iCs/>
        </w:rPr>
        <w:t xml:space="preserve">These applications </w:t>
      </w:r>
      <w:r w:rsidR="00857BC1">
        <w:rPr>
          <w:rFonts w:ascii="Arial" w:hAnsi="Arial" w:cs="Arial"/>
          <w:iCs/>
        </w:rPr>
        <w:t>were</w:t>
      </w:r>
      <w:r w:rsidRPr="004E5FAD">
        <w:rPr>
          <w:rFonts w:ascii="Arial" w:hAnsi="Arial" w:cs="Arial"/>
          <w:iCs/>
        </w:rPr>
        <w:t xml:space="preserve"> remitted to the Full Federal Court</w:t>
      </w:r>
      <w:r w:rsidR="00857BC1">
        <w:rPr>
          <w:rFonts w:ascii="Arial" w:hAnsi="Arial" w:cs="Arial"/>
          <w:iCs/>
        </w:rPr>
        <w:t xml:space="preserve"> in February 2016 and are scheduled </w:t>
      </w:r>
      <w:r w:rsidR="001002CE">
        <w:rPr>
          <w:rFonts w:ascii="Arial" w:hAnsi="Arial" w:cs="Arial"/>
          <w:iCs/>
        </w:rPr>
        <w:t xml:space="preserve">to </w:t>
      </w:r>
      <w:r w:rsidRPr="004E5FAD">
        <w:rPr>
          <w:rFonts w:ascii="Arial" w:hAnsi="Arial" w:cs="Arial"/>
          <w:iCs/>
        </w:rPr>
        <w:t xml:space="preserve">be heard on 28 and 29 July 2016.  </w:t>
      </w:r>
    </w:p>
    <w:p w:rsidR="004E5FAD" w:rsidRPr="004E5FAD" w:rsidRDefault="004E5FAD" w:rsidP="004E5FAD">
      <w:pPr>
        <w:spacing w:after="0"/>
        <w:jc w:val="both"/>
        <w:rPr>
          <w:rFonts w:ascii="Arial" w:hAnsi="Arial" w:cs="Arial"/>
          <w:iCs/>
        </w:rPr>
      </w:pPr>
    </w:p>
    <w:p w:rsidR="007712F7" w:rsidRDefault="007712F7" w:rsidP="004E5FAD">
      <w:pPr>
        <w:spacing w:after="0"/>
        <w:jc w:val="both"/>
        <w:rPr>
          <w:rFonts w:ascii="Arial" w:hAnsi="Arial" w:cs="Arial"/>
          <w:iCs/>
          <w:color w:val="FF0000"/>
        </w:rPr>
      </w:pPr>
      <w:r w:rsidRPr="004E5FAD">
        <w:rPr>
          <w:rFonts w:ascii="Arial" w:hAnsi="Arial" w:cs="Arial"/>
          <w:iCs/>
        </w:rPr>
        <w:t xml:space="preserve">The Settlement will commence subject to </w:t>
      </w:r>
      <w:r w:rsidR="007B4A3D">
        <w:rPr>
          <w:rFonts w:ascii="Arial" w:hAnsi="Arial" w:cs="Arial"/>
          <w:iCs/>
        </w:rPr>
        <w:t xml:space="preserve">the </w:t>
      </w:r>
      <w:r w:rsidR="00FF2ED2">
        <w:rPr>
          <w:rFonts w:ascii="Arial" w:hAnsi="Arial" w:cs="Arial"/>
          <w:iCs/>
        </w:rPr>
        <w:t xml:space="preserve">6 ILUAs </w:t>
      </w:r>
      <w:r w:rsidR="000B3893">
        <w:rPr>
          <w:rFonts w:ascii="Arial" w:hAnsi="Arial" w:cs="Arial"/>
          <w:iCs/>
        </w:rPr>
        <w:t>remaining registered after</w:t>
      </w:r>
      <w:r w:rsidR="00FF2ED2">
        <w:rPr>
          <w:rFonts w:ascii="Arial" w:hAnsi="Arial" w:cs="Arial"/>
          <w:iCs/>
        </w:rPr>
        <w:t xml:space="preserve"> the </w:t>
      </w:r>
      <w:r w:rsidR="001E656C">
        <w:rPr>
          <w:rFonts w:ascii="Arial" w:hAnsi="Arial" w:cs="Arial"/>
          <w:iCs/>
        </w:rPr>
        <w:t xml:space="preserve">conclusion of </w:t>
      </w:r>
      <w:r w:rsidR="00FF2ED2">
        <w:rPr>
          <w:rFonts w:ascii="Arial" w:hAnsi="Arial" w:cs="Arial"/>
          <w:iCs/>
        </w:rPr>
        <w:t>any</w:t>
      </w:r>
      <w:r w:rsidRPr="004E5FAD">
        <w:rPr>
          <w:rFonts w:ascii="Arial" w:hAnsi="Arial" w:cs="Arial"/>
          <w:iCs/>
        </w:rPr>
        <w:t xml:space="preserve"> legal proceedings</w:t>
      </w:r>
      <w:r w:rsidR="00FF2ED2">
        <w:rPr>
          <w:rFonts w:ascii="Arial" w:hAnsi="Arial" w:cs="Arial"/>
          <w:iCs/>
        </w:rPr>
        <w:t xml:space="preserve"> challenging registration</w:t>
      </w:r>
      <w:r w:rsidR="001E656C">
        <w:rPr>
          <w:rFonts w:ascii="Arial" w:hAnsi="Arial" w:cs="Arial"/>
          <w:iCs/>
        </w:rPr>
        <w:t xml:space="preserve">. </w:t>
      </w:r>
      <w:r w:rsidR="000B3893">
        <w:rPr>
          <w:rFonts w:ascii="Arial" w:hAnsi="Arial" w:cs="Arial"/>
          <w:iCs/>
        </w:rPr>
        <w:t>At present, t</w:t>
      </w:r>
      <w:r w:rsidR="001E656C">
        <w:rPr>
          <w:rFonts w:ascii="Arial" w:hAnsi="Arial" w:cs="Arial"/>
          <w:iCs/>
        </w:rPr>
        <w:t>he</w:t>
      </w:r>
      <w:r w:rsidR="009161B6">
        <w:rPr>
          <w:rFonts w:ascii="Arial" w:hAnsi="Arial" w:cs="Arial"/>
          <w:iCs/>
        </w:rPr>
        <w:t xml:space="preserve"> </w:t>
      </w:r>
      <w:r w:rsidR="001E656C">
        <w:rPr>
          <w:rFonts w:ascii="Arial" w:hAnsi="Arial" w:cs="Arial"/>
          <w:iCs/>
        </w:rPr>
        <w:t xml:space="preserve">earliest likely date for commencement </w:t>
      </w:r>
      <w:r w:rsidR="009161B6">
        <w:rPr>
          <w:rFonts w:ascii="Arial" w:hAnsi="Arial" w:cs="Arial"/>
          <w:iCs/>
        </w:rPr>
        <w:t xml:space="preserve">is </w:t>
      </w:r>
      <w:r w:rsidR="000D43D3">
        <w:rPr>
          <w:rFonts w:ascii="Arial" w:hAnsi="Arial" w:cs="Arial"/>
          <w:iCs/>
        </w:rPr>
        <w:t>early in</w:t>
      </w:r>
      <w:r w:rsidR="000B3893">
        <w:rPr>
          <w:rFonts w:ascii="Arial" w:hAnsi="Arial" w:cs="Arial"/>
          <w:iCs/>
        </w:rPr>
        <w:t xml:space="preserve"> </w:t>
      </w:r>
      <w:r w:rsidR="001E656C">
        <w:rPr>
          <w:rFonts w:ascii="Arial" w:hAnsi="Arial" w:cs="Arial"/>
          <w:iCs/>
        </w:rPr>
        <w:t>2017.</w:t>
      </w:r>
      <w:r w:rsidR="00DB63AB">
        <w:rPr>
          <w:rFonts w:ascii="Arial" w:hAnsi="Arial" w:cs="Arial"/>
          <w:iCs/>
        </w:rPr>
        <w:t xml:space="preserve"> </w:t>
      </w:r>
      <w:r w:rsidR="001C1459">
        <w:rPr>
          <w:rFonts w:ascii="Arial" w:hAnsi="Arial" w:cs="Arial"/>
          <w:iCs/>
        </w:rPr>
        <w:t xml:space="preserve"> </w:t>
      </w:r>
      <w:r w:rsidR="001C1459" w:rsidRPr="00C5466D">
        <w:rPr>
          <w:rFonts w:ascii="Arial" w:hAnsi="Arial" w:cs="Arial"/>
          <w:iCs/>
          <w:color w:val="FF0000"/>
        </w:rPr>
        <w:t xml:space="preserve"> </w:t>
      </w:r>
    </w:p>
    <w:p w:rsidR="005D3A4A" w:rsidRPr="004E5FAD" w:rsidRDefault="005D3A4A" w:rsidP="004E5FAD">
      <w:pPr>
        <w:spacing w:after="0"/>
        <w:jc w:val="both"/>
        <w:rPr>
          <w:rFonts w:ascii="Arial" w:hAnsi="Arial" w:cs="Arial"/>
          <w:iCs/>
        </w:rPr>
      </w:pPr>
    </w:p>
    <w:p w:rsidR="001002CE" w:rsidRDefault="001002CE" w:rsidP="001002CE">
      <w:pPr>
        <w:spacing w:after="0" w:line="240" w:lineRule="auto"/>
        <w:jc w:val="center"/>
        <w:rPr>
          <w:rFonts w:ascii="Arial" w:eastAsia="Calibri" w:hAnsi="Arial" w:cs="Arial"/>
          <w:b/>
        </w:rPr>
      </w:pPr>
      <w:r>
        <w:rPr>
          <w:rFonts w:ascii="ArialMT" w:hAnsi="ArialMT" w:cs="ArialMT"/>
          <w:color w:val="C75928"/>
          <w:sz w:val="48"/>
          <w:szCs w:val="48"/>
        </w:rPr>
        <w:t xml:space="preserve">Announcement of </w:t>
      </w:r>
      <w:r w:rsidR="005D39B1">
        <w:rPr>
          <w:rFonts w:ascii="ArialMT" w:hAnsi="ArialMT" w:cs="ArialMT"/>
          <w:color w:val="C75928"/>
          <w:sz w:val="48"/>
          <w:szCs w:val="48"/>
        </w:rPr>
        <w:t xml:space="preserve">initial </w:t>
      </w:r>
      <w:r>
        <w:rPr>
          <w:rFonts w:ascii="ArialMT" w:hAnsi="ArialMT" w:cs="ArialMT"/>
          <w:color w:val="C75928"/>
          <w:sz w:val="48"/>
          <w:szCs w:val="48"/>
        </w:rPr>
        <w:t xml:space="preserve">Noongar Boodja Trustee </w:t>
      </w:r>
    </w:p>
    <w:p w:rsidR="001002CE" w:rsidRDefault="001002CE" w:rsidP="001002CE">
      <w:pPr>
        <w:spacing w:after="0"/>
        <w:jc w:val="both"/>
        <w:rPr>
          <w:rFonts w:ascii="Arial" w:eastAsia="Calibri" w:hAnsi="Arial" w:cs="Arial"/>
          <w:b/>
        </w:rPr>
      </w:pPr>
    </w:p>
    <w:p w:rsidR="00530B00" w:rsidRPr="00530B00" w:rsidRDefault="00530B00" w:rsidP="00530B00">
      <w:pPr>
        <w:spacing w:after="0"/>
        <w:jc w:val="both"/>
        <w:rPr>
          <w:rFonts w:ascii="Arial" w:hAnsi="Arial" w:cs="Arial"/>
        </w:rPr>
      </w:pPr>
      <w:r w:rsidRPr="00FC4F5F">
        <w:rPr>
          <w:rFonts w:ascii="Arial" w:hAnsi="Arial" w:cs="Arial"/>
          <w:lang w:val="en"/>
        </w:rPr>
        <w:t xml:space="preserve">The </w:t>
      </w:r>
      <w:r w:rsidRPr="00FC4F5F">
        <w:rPr>
          <w:rFonts w:ascii="Arial" w:hAnsi="Arial" w:cs="Arial"/>
        </w:rPr>
        <w:t xml:space="preserve">formal Selection Process for the initial Noongar Boodja Trustee </w:t>
      </w:r>
      <w:r w:rsidRPr="00530B00">
        <w:rPr>
          <w:rFonts w:ascii="Arial" w:hAnsi="Arial" w:cs="Arial"/>
        </w:rPr>
        <w:t>(Trustee</w:t>
      </w:r>
      <w:r w:rsidRPr="00FC4F5F">
        <w:rPr>
          <w:rFonts w:ascii="Arial" w:hAnsi="Arial" w:cs="Arial"/>
        </w:rPr>
        <w:t xml:space="preserve">), undertaken </w:t>
      </w:r>
      <w:r w:rsidRPr="00530B00">
        <w:rPr>
          <w:rFonts w:ascii="Arial" w:hAnsi="Arial" w:cs="Arial"/>
        </w:rPr>
        <w:t>between the WA Government and SWALSC, has concluded with</w:t>
      </w:r>
      <w:r w:rsidR="00EE2012">
        <w:rPr>
          <w:rFonts w:ascii="Arial" w:hAnsi="Arial" w:cs="Arial"/>
        </w:rPr>
        <w:t xml:space="preserve"> </w:t>
      </w:r>
      <w:r w:rsidR="0099634F" w:rsidRPr="0087653A">
        <w:rPr>
          <w:rFonts w:ascii="Arial" w:hAnsi="Arial" w:cs="Arial"/>
          <w:iCs/>
        </w:rPr>
        <w:t>Per</w:t>
      </w:r>
      <w:r w:rsidR="0099634F">
        <w:rPr>
          <w:rFonts w:ascii="Arial" w:hAnsi="Arial" w:cs="Arial"/>
          <w:iCs/>
        </w:rPr>
        <w:t>petual Trustee Company Limited (</w:t>
      </w:r>
      <w:r w:rsidR="000F14BE">
        <w:rPr>
          <w:rFonts w:ascii="Arial" w:hAnsi="Arial" w:cs="Arial"/>
        </w:rPr>
        <w:t>Perpetual</w:t>
      </w:r>
      <w:r w:rsidR="0099634F">
        <w:rPr>
          <w:rFonts w:ascii="Arial" w:hAnsi="Arial" w:cs="Arial"/>
        </w:rPr>
        <w:t xml:space="preserve">) </w:t>
      </w:r>
      <w:r w:rsidR="00EE2012">
        <w:rPr>
          <w:rFonts w:ascii="Arial" w:hAnsi="Arial" w:cs="Arial"/>
        </w:rPr>
        <w:t xml:space="preserve">being notified of its selection as the </w:t>
      </w:r>
      <w:r w:rsidR="000B3893">
        <w:rPr>
          <w:rFonts w:ascii="Arial" w:hAnsi="Arial" w:cs="Arial"/>
        </w:rPr>
        <w:t xml:space="preserve">initial </w:t>
      </w:r>
      <w:r w:rsidR="00EE2012">
        <w:rPr>
          <w:rFonts w:ascii="Arial" w:hAnsi="Arial" w:cs="Arial"/>
        </w:rPr>
        <w:t>Trustee for the Noongar Boodja Trust</w:t>
      </w:r>
      <w:r w:rsidR="000B3893">
        <w:rPr>
          <w:rFonts w:ascii="Arial" w:hAnsi="Arial" w:cs="Arial"/>
        </w:rPr>
        <w:t xml:space="preserve"> upon the establishment of the Trust</w:t>
      </w:r>
      <w:r w:rsidR="00EE2012">
        <w:rPr>
          <w:rFonts w:ascii="Arial" w:hAnsi="Arial" w:cs="Arial"/>
        </w:rPr>
        <w:t xml:space="preserve">. </w:t>
      </w:r>
      <w:r w:rsidR="000B3893">
        <w:rPr>
          <w:rFonts w:ascii="Arial" w:eastAsia="Calibri" w:hAnsi="Arial" w:cs="Arial"/>
        </w:rPr>
        <w:t xml:space="preserve"> </w:t>
      </w:r>
    </w:p>
    <w:p w:rsidR="00530B00" w:rsidRPr="00530B00" w:rsidRDefault="00530B00" w:rsidP="00530B00">
      <w:pPr>
        <w:spacing w:after="0"/>
        <w:jc w:val="both"/>
        <w:rPr>
          <w:rFonts w:ascii="Arial" w:hAnsi="Arial" w:cs="Arial"/>
        </w:rPr>
      </w:pPr>
    </w:p>
    <w:p w:rsidR="000B3893" w:rsidRDefault="00530B00" w:rsidP="00530B00">
      <w:pPr>
        <w:spacing w:after="0"/>
        <w:jc w:val="both"/>
        <w:rPr>
          <w:rFonts w:ascii="Arial" w:eastAsia="Calibri" w:hAnsi="Arial" w:cs="Arial"/>
        </w:rPr>
      </w:pPr>
      <w:r w:rsidRPr="00530B00">
        <w:rPr>
          <w:rFonts w:ascii="Arial" w:hAnsi="Arial" w:cs="Arial"/>
        </w:rPr>
        <w:t xml:space="preserve">The Selection Process was a significant undertaking as it is a critical component </w:t>
      </w:r>
      <w:r w:rsidR="009161B6">
        <w:rPr>
          <w:rFonts w:ascii="Arial" w:hAnsi="Arial" w:cs="Arial"/>
        </w:rPr>
        <w:t xml:space="preserve">in </w:t>
      </w:r>
      <w:r w:rsidRPr="00530B00">
        <w:rPr>
          <w:rFonts w:ascii="Arial" w:hAnsi="Arial" w:cs="Arial"/>
        </w:rPr>
        <w:t xml:space="preserve">the implementation of the Settlement. </w:t>
      </w:r>
      <w:r w:rsidR="000B3893">
        <w:rPr>
          <w:rFonts w:ascii="Arial" w:eastAsia="Calibri" w:hAnsi="Arial" w:cs="Arial"/>
        </w:rPr>
        <w:t xml:space="preserve">The </w:t>
      </w:r>
      <w:r w:rsidR="00786DBA">
        <w:rPr>
          <w:rFonts w:ascii="Arial" w:eastAsia="Calibri" w:hAnsi="Arial" w:cs="Arial"/>
        </w:rPr>
        <w:t xml:space="preserve">initial </w:t>
      </w:r>
      <w:r w:rsidR="000B3893">
        <w:rPr>
          <w:rFonts w:ascii="Arial" w:eastAsia="Calibri" w:hAnsi="Arial" w:cs="Arial"/>
        </w:rPr>
        <w:t xml:space="preserve">Trustee </w:t>
      </w:r>
      <w:r w:rsidR="00786DBA">
        <w:rPr>
          <w:rFonts w:ascii="Arial" w:eastAsia="Calibri" w:hAnsi="Arial" w:cs="Arial"/>
        </w:rPr>
        <w:t>is</w:t>
      </w:r>
      <w:r w:rsidR="000B3893">
        <w:rPr>
          <w:rFonts w:ascii="Arial" w:eastAsia="Calibri" w:hAnsi="Arial" w:cs="Arial"/>
        </w:rPr>
        <w:t xml:space="preserve"> required to be </w:t>
      </w:r>
      <w:r w:rsidR="00871236">
        <w:rPr>
          <w:rFonts w:ascii="Arial" w:eastAsia="Calibri" w:hAnsi="Arial" w:cs="Arial"/>
        </w:rPr>
        <w:t xml:space="preserve">a </w:t>
      </w:r>
      <w:r w:rsidR="000B3893">
        <w:rPr>
          <w:rFonts w:ascii="Arial" w:eastAsia="Calibri" w:hAnsi="Arial" w:cs="Arial"/>
        </w:rPr>
        <w:t>Professional Trustee Company, which me</w:t>
      </w:r>
      <w:r w:rsidR="00786DBA">
        <w:rPr>
          <w:rFonts w:ascii="Arial" w:eastAsia="Calibri" w:hAnsi="Arial" w:cs="Arial"/>
        </w:rPr>
        <w:t>e</w:t>
      </w:r>
      <w:r w:rsidR="000B3893">
        <w:rPr>
          <w:rFonts w:ascii="Arial" w:eastAsia="Calibri" w:hAnsi="Arial" w:cs="Arial"/>
        </w:rPr>
        <w:t>t</w:t>
      </w:r>
      <w:r w:rsidR="00786DBA">
        <w:rPr>
          <w:rFonts w:ascii="Arial" w:eastAsia="Calibri" w:hAnsi="Arial" w:cs="Arial"/>
        </w:rPr>
        <w:t>s</w:t>
      </w:r>
      <w:r w:rsidR="000B3893">
        <w:rPr>
          <w:rFonts w:ascii="Arial" w:eastAsia="Calibri" w:hAnsi="Arial" w:cs="Arial"/>
        </w:rPr>
        <w:t xml:space="preserve"> specific requirements under the </w:t>
      </w:r>
      <w:r w:rsidR="000B3893" w:rsidRPr="00D9793B">
        <w:rPr>
          <w:rFonts w:ascii="Arial" w:eastAsia="Calibri" w:hAnsi="Arial" w:cs="Arial"/>
          <w:i/>
        </w:rPr>
        <w:t>Corporations Act</w:t>
      </w:r>
      <w:r w:rsidR="00786DBA">
        <w:rPr>
          <w:rFonts w:ascii="Arial" w:eastAsia="Calibri" w:hAnsi="Arial" w:cs="Arial"/>
          <w:i/>
        </w:rPr>
        <w:t xml:space="preserve"> 2001</w:t>
      </w:r>
      <w:r w:rsidR="00786DBA" w:rsidRPr="00D9793B">
        <w:rPr>
          <w:rFonts w:ascii="Arial" w:eastAsia="Calibri" w:hAnsi="Arial" w:cs="Arial"/>
        </w:rPr>
        <w:t xml:space="preserve"> (Cth)</w:t>
      </w:r>
      <w:r w:rsidR="000B3893">
        <w:rPr>
          <w:rFonts w:ascii="Arial" w:eastAsia="Calibri" w:hAnsi="Arial" w:cs="Arial"/>
        </w:rPr>
        <w:t xml:space="preserve"> and </w:t>
      </w:r>
      <w:r w:rsidR="00786DBA">
        <w:rPr>
          <w:rFonts w:ascii="Arial" w:eastAsia="Calibri" w:hAnsi="Arial" w:cs="Arial"/>
        </w:rPr>
        <w:t>has</w:t>
      </w:r>
      <w:r w:rsidR="000B3893">
        <w:rPr>
          <w:rFonts w:ascii="Arial" w:eastAsia="Calibri" w:hAnsi="Arial" w:cs="Arial"/>
        </w:rPr>
        <w:t xml:space="preserve"> substantial relevant experience in carrying out functions </w:t>
      </w:r>
      <w:r w:rsidR="00786DBA">
        <w:rPr>
          <w:rFonts w:ascii="Arial" w:eastAsia="Calibri" w:hAnsi="Arial" w:cs="Arial"/>
        </w:rPr>
        <w:t>and services that will be required by</w:t>
      </w:r>
      <w:r w:rsidR="000B3893">
        <w:rPr>
          <w:rFonts w:ascii="Arial" w:eastAsia="Calibri" w:hAnsi="Arial" w:cs="Arial"/>
        </w:rPr>
        <w:t xml:space="preserve"> the </w:t>
      </w:r>
      <w:r w:rsidR="00786DBA">
        <w:rPr>
          <w:rFonts w:ascii="Arial" w:eastAsia="Calibri" w:hAnsi="Arial" w:cs="Arial"/>
        </w:rPr>
        <w:t xml:space="preserve">Noongar Boodja </w:t>
      </w:r>
      <w:r w:rsidR="000B3893">
        <w:rPr>
          <w:rFonts w:ascii="Arial" w:eastAsia="Calibri" w:hAnsi="Arial" w:cs="Arial"/>
        </w:rPr>
        <w:t>Trust.</w:t>
      </w:r>
      <w:r w:rsidR="00AA4F1D">
        <w:rPr>
          <w:rFonts w:ascii="Arial" w:eastAsia="Calibri" w:hAnsi="Arial" w:cs="Arial"/>
        </w:rPr>
        <w:t xml:space="preserve">  The State and SWALSC agreed</w:t>
      </w:r>
      <w:r w:rsidR="00D9793B">
        <w:rPr>
          <w:rFonts w:ascii="Arial" w:eastAsia="Calibri" w:hAnsi="Arial" w:cs="Arial"/>
        </w:rPr>
        <w:t>,</w:t>
      </w:r>
      <w:r w:rsidR="00AA4F1D">
        <w:rPr>
          <w:rFonts w:ascii="Arial" w:eastAsia="Calibri" w:hAnsi="Arial" w:cs="Arial"/>
        </w:rPr>
        <w:t xml:space="preserve"> </w:t>
      </w:r>
      <w:r w:rsidR="00D9793B">
        <w:rPr>
          <w:rFonts w:ascii="Arial" w:eastAsia="Calibri" w:hAnsi="Arial" w:cs="Arial"/>
        </w:rPr>
        <w:t xml:space="preserve">in partnership, </w:t>
      </w:r>
      <w:r w:rsidR="00AA4F1D">
        <w:rPr>
          <w:rFonts w:ascii="Arial" w:eastAsia="Calibri" w:hAnsi="Arial" w:cs="Arial"/>
        </w:rPr>
        <w:t xml:space="preserve">to adopt a Selection Process that followed Government procurement guidelines. </w:t>
      </w:r>
    </w:p>
    <w:p w:rsidR="000B3893" w:rsidRDefault="000B3893" w:rsidP="00530B00">
      <w:pPr>
        <w:spacing w:after="0"/>
        <w:jc w:val="both"/>
        <w:rPr>
          <w:rFonts w:ascii="Arial" w:eastAsia="Calibri" w:hAnsi="Arial" w:cs="Arial"/>
        </w:rPr>
      </w:pPr>
    </w:p>
    <w:p w:rsidR="00530B00" w:rsidRPr="00530B00" w:rsidRDefault="00530B00" w:rsidP="00530B00">
      <w:pPr>
        <w:spacing w:after="0"/>
        <w:jc w:val="both"/>
        <w:rPr>
          <w:rFonts w:ascii="Arial" w:hAnsi="Arial" w:cs="Arial"/>
        </w:rPr>
      </w:pPr>
      <w:r w:rsidRPr="00530B00">
        <w:rPr>
          <w:rFonts w:ascii="Arial" w:hAnsi="Arial" w:cs="Arial"/>
        </w:rPr>
        <w:t xml:space="preserve">The WA Government and SWALSC </w:t>
      </w:r>
      <w:r w:rsidR="00DB63AB">
        <w:rPr>
          <w:rFonts w:ascii="Arial" w:hAnsi="Arial" w:cs="Arial"/>
        </w:rPr>
        <w:t xml:space="preserve">established </w:t>
      </w:r>
      <w:r w:rsidR="00DB63AB" w:rsidRPr="00530B00">
        <w:rPr>
          <w:rFonts w:ascii="Arial" w:eastAsia="Calibri" w:hAnsi="Arial" w:cs="Arial"/>
        </w:rPr>
        <w:t xml:space="preserve">the Noongar Boodja Trustee </w:t>
      </w:r>
      <w:r w:rsidR="00DB63AB">
        <w:rPr>
          <w:rFonts w:ascii="Arial" w:eastAsia="Calibri" w:hAnsi="Arial" w:cs="Arial"/>
        </w:rPr>
        <w:t>Selection Taskforce (Taskforce)</w:t>
      </w:r>
      <w:r w:rsidR="00DB63AB" w:rsidRPr="00530B00">
        <w:rPr>
          <w:rFonts w:ascii="Arial" w:eastAsia="Calibri" w:hAnsi="Arial" w:cs="Arial"/>
        </w:rPr>
        <w:t xml:space="preserve"> in June 2015</w:t>
      </w:r>
      <w:r w:rsidRPr="00530B00">
        <w:rPr>
          <w:rFonts w:ascii="Arial" w:eastAsia="Calibri" w:hAnsi="Arial" w:cs="Arial"/>
        </w:rPr>
        <w:t xml:space="preserve"> to facilitate the selection of the Professional Trustee</w:t>
      </w:r>
      <w:r w:rsidR="000B3893">
        <w:rPr>
          <w:rFonts w:ascii="Arial" w:eastAsia="Calibri" w:hAnsi="Arial" w:cs="Arial"/>
        </w:rPr>
        <w:t xml:space="preserve"> Company</w:t>
      </w:r>
      <w:r w:rsidR="00786DBA">
        <w:rPr>
          <w:rFonts w:ascii="Arial" w:eastAsia="Calibri" w:hAnsi="Arial" w:cs="Arial"/>
        </w:rPr>
        <w:t xml:space="preserve">.  </w:t>
      </w:r>
      <w:r w:rsidR="00AA4F1D">
        <w:rPr>
          <w:rFonts w:ascii="Arial" w:eastAsia="Calibri" w:hAnsi="Arial" w:cs="Arial"/>
        </w:rPr>
        <w:t>C</w:t>
      </w:r>
      <w:r w:rsidRPr="00530B00">
        <w:rPr>
          <w:rFonts w:ascii="Arial" w:eastAsia="Calibri" w:hAnsi="Arial" w:cs="Arial"/>
        </w:rPr>
        <w:t xml:space="preserve">omprised of an Independent Chair and four representatives </w:t>
      </w:r>
      <w:r w:rsidR="004C1942">
        <w:rPr>
          <w:rFonts w:ascii="Arial" w:eastAsia="Calibri" w:hAnsi="Arial" w:cs="Arial"/>
        </w:rPr>
        <w:t>appointed by each of</w:t>
      </w:r>
      <w:r w:rsidRPr="00530B00">
        <w:rPr>
          <w:rFonts w:ascii="Arial" w:eastAsia="Calibri" w:hAnsi="Arial" w:cs="Arial"/>
        </w:rPr>
        <w:t xml:space="preserve"> the</w:t>
      </w:r>
      <w:r w:rsidR="00E02606">
        <w:rPr>
          <w:rFonts w:ascii="Arial" w:eastAsia="Calibri" w:hAnsi="Arial" w:cs="Arial"/>
        </w:rPr>
        <w:t xml:space="preserve"> WA</w:t>
      </w:r>
      <w:r w:rsidRPr="00530B00">
        <w:rPr>
          <w:rFonts w:ascii="Arial" w:eastAsia="Calibri" w:hAnsi="Arial" w:cs="Arial"/>
        </w:rPr>
        <w:t xml:space="preserve"> </w:t>
      </w:r>
      <w:r w:rsidR="003656D3">
        <w:rPr>
          <w:rFonts w:ascii="Arial" w:eastAsia="Calibri" w:hAnsi="Arial" w:cs="Arial"/>
        </w:rPr>
        <w:t xml:space="preserve">Government </w:t>
      </w:r>
      <w:r w:rsidRPr="00530B00">
        <w:rPr>
          <w:rFonts w:ascii="Arial" w:eastAsia="Calibri" w:hAnsi="Arial" w:cs="Arial"/>
        </w:rPr>
        <w:t>and SWALSC</w:t>
      </w:r>
      <w:r w:rsidR="00AA4F1D">
        <w:rPr>
          <w:rFonts w:ascii="Arial" w:hAnsi="Arial" w:cs="Arial"/>
        </w:rPr>
        <w:t>, t</w:t>
      </w:r>
      <w:r w:rsidRPr="00530B00">
        <w:rPr>
          <w:rFonts w:ascii="Arial" w:hAnsi="Arial" w:cs="Arial"/>
        </w:rPr>
        <w:t>he Taskforce provided strategic direction to assist the Noongar Boodja Trustee Selection Panel (Panel) in their selection of a suitable Professional Trustee Company.</w:t>
      </w:r>
    </w:p>
    <w:p w:rsidR="00530B00" w:rsidRPr="00FC4F5F" w:rsidRDefault="00530B00" w:rsidP="00530B00">
      <w:pPr>
        <w:spacing w:after="0"/>
        <w:jc w:val="both"/>
        <w:rPr>
          <w:rFonts w:ascii="Arial" w:hAnsi="Arial" w:cs="Arial"/>
        </w:rPr>
      </w:pPr>
    </w:p>
    <w:p w:rsidR="007C3994" w:rsidRPr="00FC4F5F" w:rsidRDefault="007C3994" w:rsidP="007C3994">
      <w:pPr>
        <w:spacing w:after="0"/>
        <w:jc w:val="both"/>
        <w:rPr>
          <w:rFonts w:ascii="Arial" w:hAnsi="Arial" w:cs="Arial"/>
        </w:rPr>
      </w:pPr>
      <w:r w:rsidRPr="00FC4F5F">
        <w:rPr>
          <w:rFonts w:ascii="Arial" w:hAnsi="Arial" w:cs="Arial"/>
        </w:rPr>
        <w:t>Panel members</w:t>
      </w:r>
      <w:r>
        <w:rPr>
          <w:rFonts w:ascii="Arial" w:hAnsi="Arial" w:cs="Arial"/>
        </w:rPr>
        <w:t>, listed below,</w:t>
      </w:r>
      <w:r w:rsidRPr="00FC4F5F">
        <w:rPr>
          <w:rFonts w:ascii="Arial" w:hAnsi="Arial" w:cs="Arial"/>
        </w:rPr>
        <w:t xml:space="preserve"> were chosen because of their extensive experience and expertise. </w:t>
      </w:r>
    </w:p>
    <w:p w:rsidR="007C3994" w:rsidRPr="00FC4F5F" w:rsidRDefault="007C3994" w:rsidP="007C3994">
      <w:pPr>
        <w:pStyle w:val="ListParagraph"/>
        <w:numPr>
          <w:ilvl w:val="0"/>
          <w:numId w:val="5"/>
        </w:numPr>
        <w:spacing w:after="0"/>
        <w:jc w:val="both"/>
        <w:rPr>
          <w:rFonts w:ascii="Arial" w:hAnsi="Arial" w:cs="Arial"/>
        </w:rPr>
      </w:pPr>
      <w:r w:rsidRPr="00FC4F5F">
        <w:rPr>
          <w:rFonts w:ascii="Arial" w:hAnsi="Arial" w:cs="Arial"/>
        </w:rPr>
        <w:t xml:space="preserve">Independent non-voting Chair: </w:t>
      </w:r>
      <w:r w:rsidRPr="00FC4F5F">
        <w:rPr>
          <w:rFonts w:ascii="Arial" w:hAnsi="Arial" w:cs="Arial"/>
          <w:color w:val="000000"/>
        </w:rPr>
        <w:t>Dr Ken Michael AC, former Governor of Western Australia;</w:t>
      </w:r>
    </w:p>
    <w:p w:rsidR="007C3994" w:rsidRPr="00FC4F5F" w:rsidRDefault="007C3994" w:rsidP="007C3994">
      <w:pPr>
        <w:pStyle w:val="ListParagraph"/>
        <w:numPr>
          <w:ilvl w:val="0"/>
          <w:numId w:val="5"/>
        </w:numPr>
        <w:spacing w:after="0"/>
        <w:jc w:val="both"/>
        <w:rPr>
          <w:rFonts w:ascii="Arial" w:hAnsi="Arial" w:cs="Arial"/>
        </w:rPr>
      </w:pPr>
      <w:r w:rsidRPr="00FC4F5F">
        <w:rPr>
          <w:rFonts w:ascii="Arial" w:hAnsi="Arial" w:cs="Arial"/>
        </w:rPr>
        <w:t xml:space="preserve">Independent Financial Expert: </w:t>
      </w:r>
      <w:r w:rsidRPr="00FC4F5F">
        <w:rPr>
          <w:rFonts w:ascii="Arial" w:hAnsi="Arial" w:cs="Arial"/>
          <w:color w:val="000000"/>
        </w:rPr>
        <w:t>Ms Catherine Nance, Partner PricewaterhouseCoopers;</w:t>
      </w:r>
    </w:p>
    <w:p w:rsidR="007C3994" w:rsidRPr="00FC4F5F" w:rsidRDefault="007C3994" w:rsidP="007C3994">
      <w:pPr>
        <w:pStyle w:val="ListParagraph"/>
        <w:numPr>
          <w:ilvl w:val="0"/>
          <w:numId w:val="5"/>
        </w:numPr>
        <w:spacing w:after="0"/>
        <w:jc w:val="both"/>
        <w:rPr>
          <w:rFonts w:ascii="Arial" w:hAnsi="Arial" w:cs="Arial"/>
        </w:rPr>
      </w:pPr>
      <w:r w:rsidRPr="00FC4F5F">
        <w:rPr>
          <w:rFonts w:ascii="Arial" w:hAnsi="Arial" w:cs="Arial"/>
        </w:rPr>
        <w:t xml:space="preserve">Independent Legal Expert: </w:t>
      </w:r>
      <w:r w:rsidRPr="00FC4F5F">
        <w:rPr>
          <w:rFonts w:ascii="Arial" w:hAnsi="Arial" w:cs="Arial"/>
          <w:color w:val="000000"/>
        </w:rPr>
        <w:t>Mr Geoff Gishubl, Partner Ashurst Australia;</w:t>
      </w:r>
    </w:p>
    <w:p w:rsidR="007C3994" w:rsidRPr="00FC4F5F" w:rsidRDefault="007C3994" w:rsidP="007C3994">
      <w:pPr>
        <w:pStyle w:val="ListParagraph"/>
        <w:numPr>
          <w:ilvl w:val="0"/>
          <w:numId w:val="5"/>
        </w:numPr>
        <w:spacing w:after="0"/>
        <w:jc w:val="both"/>
        <w:rPr>
          <w:rFonts w:ascii="Arial" w:hAnsi="Arial" w:cs="Arial"/>
        </w:rPr>
      </w:pPr>
      <w:r w:rsidRPr="00FC4F5F">
        <w:rPr>
          <w:rFonts w:ascii="Arial" w:hAnsi="Arial" w:cs="Arial"/>
        </w:rPr>
        <w:t xml:space="preserve">Independent Practical Expert: </w:t>
      </w:r>
      <w:r w:rsidRPr="00FC4F5F">
        <w:rPr>
          <w:rFonts w:ascii="Arial" w:hAnsi="Arial" w:cs="Arial"/>
          <w:color w:val="000000"/>
        </w:rPr>
        <w:t>Professor Colleen Hayward AM, Pro-Vice-Chancellor, Equity and Indigenous, Edith Cowan University;</w:t>
      </w:r>
    </w:p>
    <w:p w:rsidR="007C3994" w:rsidRPr="00FC4F5F" w:rsidRDefault="007C3994" w:rsidP="007C3994">
      <w:pPr>
        <w:pStyle w:val="ListParagraph"/>
        <w:numPr>
          <w:ilvl w:val="0"/>
          <w:numId w:val="5"/>
        </w:numPr>
        <w:spacing w:after="0"/>
        <w:jc w:val="both"/>
        <w:rPr>
          <w:rFonts w:ascii="Arial" w:hAnsi="Arial" w:cs="Arial"/>
        </w:rPr>
      </w:pPr>
      <w:r w:rsidRPr="00FC4F5F">
        <w:rPr>
          <w:rFonts w:ascii="Arial" w:hAnsi="Arial" w:cs="Arial"/>
        </w:rPr>
        <w:t xml:space="preserve">State-nominated Representative: </w:t>
      </w:r>
      <w:r w:rsidRPr="00FC4F5F">
        <w:rPr>
          <w:rFonts w:ascii="Arial" w:hAnsi="Arial" w:cs="Arial"/>
          <w:color w:val="000000"/>
        </w:rPr>
        <w:t>Ms Kylie Towie, Assistant Director General, Department of Health; and</w:t>
      </w:r>
    </w:p>
    <w:p w:rsidR="007C3994" w:rsidRPr="00FC4F5F" w:rsidRDefault="007C3994" w:rsidP="007C3994">
      <w:pPr>
        <w:pStyle w:val="ListParagraph"/>
        <w:numPr>
          <w:ilvl w:val="0"/>
          <w:numId w:val="5"/>
        </w:numPr>
        <w:spacing w:after="0"/>
        <w:jc w:val="both"/>
        <w:rPr>
          <w:rFonts w:ascii="Arial" w:hAnsi="Arial" w:cs="Arial"/>
        </w:rPr>
      </w:pPr>
      <w:r w:rsidRPr="00FC4F5F">
        <w:rPr>
          <w:rFonts w:ascii="Arial" w:hAnsi="Arial" w:cs="Arial"/>
        </w:rPr>
        <w:t xml:space="preserve">SWALSC-nominated Representative: </w:t>
      </w:r>
      <w:r w:rsidRPr="00FC4F5F">
        <w:rPr>
          <w:rFonts w:ascii="Arial" w:hAnsi="Arial" w:cs="Arial"/>
          <w:color w:val="000000"/>
        </w:rPr>
        <w:t xml:space="preserve">Mrs Gningala Yarran-Mark, </w:t>
      </w:r>
      <w:r w:rsidRPr="00FC4F5F">
        <w:rPr>
          <w:rFonts w:ascii="Arial" w:hAnsi="Arial" w:cs="Arial"/>
        </w:rPr>
        <w:t>Aboriginal and Torres Strait Islander Coordinator, Aboriginal Engagement, UGL Limited.</w:t>
      </w:r>
    </w:p>
    <w:p w:rsidR="00530B00" w:rsidRPr="00FC4F5F" w:rsidRDefault="00530B00" w:rsidP="00530B00">
      <w:pPr>
        <w:spacing w:after="0"/>
        <w:jc w:val="both"/>
        <w:rPr>
          <w:rFonts w:ascii="Arial" w:hAnsi="Arial" w:cs="Arial"/>
        </w:rPr>
      </w:pPr>
    </w:p>
    <w:p w:rsidR="00530B00" w:rsidRPr="00FC4F5F" w:rsidRDefault="00E02606" w:rsidP="00530B00">
      <w:pPr>
        <w:spacing w:after="0"/>
        <w:jc w:val="both"/>
        <w:rPr>
          <w:rFonts w:ascii="Arial" w:hAnsi="Arial" w:cs="Arial"/>
        </w:rPr>
      </w:pPr>
      <w:r>
        <w:rPr>
          <w:rFonts w:ascii="Arial" w:hAnsi="Arial" w:cs="Arial"/>
        </w:rPr>
        <w:t>Perpetual</w:t>
      </w:r>
      <w:r w:rsidR="00530B00">
        <w:rPr>
          <w:rFonts w:ascii="Arial" w:hAnsi="Arial" w:cs="Arial"/>
        </w:rPr>
        <w:t xml:space="preserve"> was notified on </w:t>
      </w:r>
      <w:r w:rsidR="000F14BE">
        <w:rPr>
          <w:rFonts w:ascii="Arial" w:hAnsi="Arial" w:cs="Arial"/>
        </w:rPr>
        <w:t>27 June 2016</w:t>
      </w:r>
      <w:r w:rsidR="00530B00">
        <w:rPr>
          <w:rFonts w:ascii="Arial" w:hAnsi="Arial" w:cs="Arial"/>
        </w:rPr>
        <w:t xml:space="preserve"> that it had been selected by the Panel </w:t>
      </w:r>
      <w:r w:rsidR="00530B00" w:rsidRPr="005F4D20">
        <w:rPr>
          <w:rFonts w:ascii="Arial" w:hAnsi="Arial" w:cs="Arial"/>
        </w:rPr>
        <w:t xml:space="preserve">as the successful </w:t>
      </w:r>
      <w:r w:rsidR="001B5FF7">
        <w:rPr>
          <w:rFonts w:ascii="Arial" w:hAnsi="Arial" w:cs="Arial"/>
        </w:rPr>
        <w:t>Professional</w:t>
      </w:r>
      <w:r w:rsidR="001B5FF7" w:rsidRPr="005F4D20">
        <w:rPr>
          <w:rFonts w:ascii="Arial" w:hAnsi="Arial" w:cs="Arial"/>
        </w:rPr>
        <w:t xml:space="preserve"> </w:t>
      </w:r>
      <w:r w:rsidR="00530B00" w:rsidRPr="005F4D20">
        <w:rPr>
          <w:rFonts w:ascii="Arial" w:hAnsi="Arial" w:cs="Arial"/>
        </w:rPr>
        <w:t>Trustee</w:t>
      </w:r>
      <w:r w:rsidR="00530B00">
        <w:rPr>
          <w:rFonts w:ascii="Arial" w:hAnsi="Arial" w:cs="Arial"/>
        </w:rPr>
        <w:t xml:space="preserve">, </w:t>
      </w:r>
      <w:r w:rsidR="003656D3">
        <w:rPr>
          <w:rFonts w:ascii="Arial" w:hAnsi="Arial" w:cs="Arial"/>
        </w:rPr>
        <w:t xml:space="preserve">and </w:t>
      </w:r>
      <w:r w:rsidR="00530B00" w:rsidRPr="00FC4F5F">
        <w:rPr>
          <w:rFonts w:ascii="Arial" w:hAnsi="Arial" w:cs="Arial"/>
        </w:rPr>
        <w:t>could now be described as a ‘Trustee in Waiting’</w:t>
      </w:r>
      <w:r w:rsidR="003656D3">
        <w:rPr>
          <w:rFonts w:ascii="Arial" w:hAnsi="Arial" w:cs="Arial"/>
        </w:rPr>
        <w:t xml:space="preserve">. </w:t>
      </w:r>
      <w:r w:rsidR="00271B89">
        <w:rPr>
          <w:rFonts w:ascii="Arial" w:hAnsi="Arial" w:cs="Arial"/>
        </w:rPr>
        <w:t xml:space="preserve"> </w:t>
      </w:r>
      <w:r w:rsidR="000F14BE">
        <w:rPr>
          <w:rFonts w:ascii="Arial" w:hAnsi="Arial" w:cs="Arial"/>
        </w:rPr>
        <w:t>Perpetual</w:t>
      </w:r>
      <w:r w:rsidR="003656D3">
        <w:rPr>
          <w:rFonts w:ascii="Arial" w:hAnsi="Arial" w:cs="Arial"/>
        </w:rPr>
        <w:t xml:space="preserve"> </w:t>
      </w:r>
      <w:r w:rsidR="00530B00" w:rsidRPr="00FC4F5F">
        <w:rPr>
          <w:rFonts w:ascii="Arial" w:hAnsi="Arial" w:cs="Arial"/>
        </w:rPr>
        <w:t xml:space="preserve">will only be formally appointed and commence its role as the Trustee at the </w:t>
      </w:r>
      <w:r w:rsidR="001B5FF7">
        <w:rPr>
          <w:rFonts w:ascii="Arial" w:hAnsi="Arial" w:cs="Arial"/>
        </w:rPr>
        <w:t>‘</w:t>
      </w:r>
      <w:r w:rsidR="00530B00" w:rsidRPr="00FC4F5F">
        <w:rPr>
          <w:rFonts w:ascii="Arial" w:hAnsi="Arial" w:cs="Arial"/>
        </w:rPr>
        <w:t>Trust Effective Date</w:t>
      </w:r>
      <w:r w:rsidR="001B5FF7">
        <w:rPr>
          <w:rFonts w:ascii="Arial" w:hAnsi="Arial" w:cs="Arial"/>
        </w:rPr>
        <w:t>’</w:t>
      </w:r>
      <w:r w:rsidR="00530B00" w:rsidRPr="00FC4F5F">
        <w:rPr>
          <w:rFonts w:ascii="Arial" w:hAnsi="Arial" w:cs="Arial"/>
        </w:rPr>
        <w:t xml:space="preserve">. </w:t>
      </w:r>
      <w:r w:rsidR="00271B89">
        <w:rPr>
          <w:rFonts w:ascii="Arial" w:hAnsi="Arial" w:cs="Arial"/>
        </w:rPr>
        <w:t xml:space="preserve"> </w:t>
      </w:r>
      <w:r w:rsidR="00530B00" w:rsidRPr="00FC4F5F">
        <w:rPr>
          <w:rFonts w:ascii="Arial" w:hAnsi="Arial" w:cs="Arial"/>
        </w:rPr>
        <w:t xml:space="preserve">This will only occur after the Settlement commences, following the registration of the six </w:t>
      </w:r>
      <w:r w:rsidR="00567DC7">
        <w:rPr>
          <w:rFonts w:ascii="Arial" w:hAnsi="Arial" w:cs="Arial"/>
        </w:rPr>
        <w:t>ILUAs</w:t>
      </w:r>
      <w:r w:rsidR="00530B00" w:rsidRPr="00FC4F5F">
        <w:rPr>
          <w:rFonts w:ascii="Arial" w:hAnsi="Arial" w:cs="Arial"/>
        </w:rPr>
        <w:t xml:space="preserve"> with the </w:t>
      </w:r>
      <w:r w:rsidR="00567DC7">
        <w:rPr>
          <w:rFonts w:ascii="Arial" w:hAnsi="Arial" w:cs="Arial"/>
        </w:rPr>
        <w:t>NNTT</w:t>
      </w:r>
      <w:r w:rsidR="00530B00" w:rsidRPr="00FC4F5F">
        <w:rPr>
          <w:rFonts w:ascii="Arial" w:hAnsi="Arial" w:cs="Arial"/>
        </w:rPr>
        <w:t>.</w:t>
      </w:r>
    </w:p>
    <w:p w:rsidR="00530B00" w:rsidRPr="00FC4F5F" w:rsidRDefault="00530B00" w:rsidP="00530B00">
      <w:pPr>
        <w:spacing w:after="0"/>
        <w:jc w:val="both"/>
        <w:rPr>
          <w:rFonts w:ascii="Arial" w:hAnsi="Arial" w:cs="Arial"/>
        </w:rPr>
      </w:pPr>
    </w:p>
    <w:p w:rsidR="00530B00" w:rsidRPr="00FC4F5F" w:rsidRDefault="00530B00" w:rsidP="00530B00">
      <w:pPr>
        <w:spacing w:after="0"/>
        <w:jc w:val="both"/>
        <w:rPr>
          <w:rFonts w:ascii="Arial" w:hAnsi="Arial" w:cs="Arial"/>
        </w:rPr>
      </w:pPr>
      <w:r w:rsidRPr="00FC4F5F">
        <w:rPr>
          <w:rFonts w:ascii="Arial" w:hAnsi="Arial" w:cs="Arial"/>
        </w:rPr>
        <w:t xml:space="preserve">Under the </w:t>
      </w:r>
      <w:r w:rsidR="007D1172">
        <w:rPr>
          <w:rFonts w:ascii="Arial" w:hAnsi="Arial" w:cs="Arial"/>
        </w:rPr>
        <w:t>ILUAs</w:t>
      </w:r>
      <w:r w:rsidRPr="00FC4F5F">
        <w:rPr>
          <w:rFonts w:ascii="Arial" w:hAnsi="Arial" w:cs="Arial"/>
        </w:rPr>
        <w:t xml:space="preserve">, </w:t>
      </w:r>
      <w:r w:rsidR="000F14BE">
        <w:rPr>
          <w:rFonts w:ascii="Arial" w:hAnsi="Arial" w:cs="Arial"/>
        </w:rPr>
        <w:t>Perpetual’s</w:t>
      </w:r>
      <w:r w:rsidRPr="00FC4F5F">
        <w:rPr>
          <w:rFonts w:ascii="Arial" w:hAnsi="Arial" w:cs="Arial"/>
        </w:rPr>
        <w:t xml:space="preserve"> role, once it is formally appointed as Trustee, will be principally around asset management and development, </w:t>
      </w:r>
      <w:r w:rsidR="004C1942">
        <w:rPr>
          <w:rFonts w:ascii="Arial" w:hAnsi="Arial" w:cs="Arial"/>
        </w:rPr>
        <w:t xml:space="preserve">developing and maintaining governance standards </w:t>
      </w:r>
      <w:r w:rsidRPr="00FC4F5F">
        <w:rPr>
          <w:rFonts w:ascii="Arial" w:hAnsi="Arial" w:cs="Arial"/>
        </w:rPr>
        <w:t xml:space="preserve">and administering the distribution </w:t>
      </w:r>
      <w:r w:rsidR="007D1172">
        <w:rPr>
          <w:rFonts w:ascii="Arial" w:hAnsi="Arial" w:cs="Arial"/>
        </w:rPr>
        <w:t xml:space="preserve">of funds </w:t>
      </w:r>
      <w:r w:rsidRPr="00FC4F5F">
        <w:rPr>
          <w:rFonts w:ascii="Arial" w:hAnsi="Arial" w:cs="Arial"/>
        </w:rPr>
        <w:t>to the Noongar Corporations</w:t>
      </w:r>
      <w:r w:rsidR="004C1942">
        <w:rPr>
          <w:rFonts w:ascii="Arial" w:hAnsi="Arial" w:cs="Arial"/>
        </w:rPr>
        <w:t xml:space="preserve"> to provide services for the benefit of the Noongar People</w:t>
      </w:r>
      <w:r w:rsidRPr="00FC4F5F">
        <w:rPr>
          <w:rFonts w:ascii="Arial" w:hAnsi="Arial" w:cs="Arial"/>
        </w:rPr>
        <w:t>.</w:t>
      </w:r>
    </w:p>
    <w:p w:rsidR="00530B00" w:rsidRPr="00FC4F5F" w:rsidRDefault="00530B00" w:rsidP="00530B00">
      <w:pPr>
        <w:spacing w:after="0" w:line="240" w:lineRule="auto"/>
        <w:jc w:val="both"/>
        <w:rPr>
          <w:rFonts w:ascii="Arial" w:eastAsia="Calibri" w:hAnsi="Arial" w:cs="Arial"/>
          <w:lang w:eastAsia="en-AU"/>
        </w:rPr>
      </w:pPr>
    </w:p>
    <w:p w:rsidR="00530B00" w:rsidRPr="00FC4F5F" w:rsidRDefault="000F14BE" w:rsidP="00530B00">
      <w:pPr>
        <w:spacing w:after="0"/>
        <w:jc w:val="both"/>
        <w:rPr>
          <w:rFonts w:ascii="Arial" w:hAnsi="Arial" w:cs="Arial"/>
        </w:rPr>
      </w:pPr>
      <w:r>
        <w:rPr>
          <w:rFonts w:ascii="Arial" w:hAnsi="Arial" w:cs="Arial"/>
        </w:rPr>
        <w:t>Perpetual</w:t>
      </w:r>
      <w:r w:rsidR="00530B00" w:rsidRPr="00FC4F5F">
        <w:rPr>
          <w:rFonts w:ascii="Arial" w:hAnsi="Arial" w:cs="Arial"/>
        </w:rPr>
        <w:t xml:space="preserve"> is expected to work in partnership with the Noongar People, and bring all its resources, expertise, connections and experience to enable the Noongar People to build their economic, social and cultural future through enduring relationships with Government, business and the wider community in Western Australia.</w:t>
      </w:r>
    </w:p>
    <w:p w:rsidR="00530B00" w:rsidRPr="00FC4F5F" w:rsidRDefault="00530B00" w:rsidP="00530B00">
      <w:pPr>
        <w:spacing w:after="0"/>
        <w:jc w:val="both"/>
        <w:rPr>
          <w:rFonts w:ascii="Arial" w:eastAsia="Calibri" w:hAnsi="Arial" w:cs="Arial"/>
        </w:rPr>
      </w:pPr>
    </w:p>
    <w:p w:rsidR="00530B00" w:rsidRDefault="00530B00" w:rsidP="00530B00">
      <w:pPr>
        <w:spacing w:after="0"/>
        <w:jc w:val="both"/>
        <w:rPr>
          <w:rFonts w:ascii="Arial" w:eastAsia="Calibri" w:hAnsi="Arial" w:cs="Arial"/>
          <w:lang w:eastAsia="en-AU"/>
        </w:rPr>
      </w:pPr>
      <w:r w:rsidRPr="00FC4F5F">
        <w:rPr>
          <w:rFonts w:ascii="Arial" w:eastAsia="Calibri" w:hAnsi="Arial" w:cs="Arial"/>
        </w:rPr>
        <w:t>The Noongar Boodja Trust will operate as a perpetual charitable trust and is intended to deliver enduring economic, social and cu</w:t>
      </w:r>
      <w:r w:rsidR="00D9793B">
        <w:rPr>
          <w:rFonts w:ascii="Arial" w:eastAsia="Calibri" w:hAnsi="Arial" w:cs="Arial"/>
        </w:rPr>
        <w:t>ltural benefits to the Noongar P</w:t>
      </w:r>
      <w:r w:rsidRPr="00FC4F5F">
        <w:rPr>
          <w:rFonts w:ascii="Arial" w:eastAsia="Calibri" w:hAnsi="Arial" w:cs="Arial"/>
        </w:rPr>
        <w:t>eople. </w:t>
      </w:r>
      <w:r w:rsidRPr="00FC4F5F">
        <w:rPr>
          <w:rFonts w:ascii="Arial" w:eastAsia="Calibri" w:hAnsi="Arial" w:cs="Arial"/>
          <w:lang w:eastAsia="en-AU"/>
        </w:rPr>
        <w:t xml:space="preserve">In making decisions, </w:t>
      </w:r>
      <w:r w:rsidR="000F14BE">
        <w:rPr>
          <w:rFonts w:ascii="Arial" w:hAnsi="Arial" w:cs="Arial"/>
        </w:rPr>
        <w:t>Perpetual</w:t>
      </w:r>
      <w:r>
        <w:rPr>
          <w:rFonts w:ascii="Arial" w:eastAsia="Calibri" w:hAnsi="Arial" w:cs="Arial"/>
          <w:lang w:eastAsia="en-AU"/>
        </w:rPr>
        <w:t xml:space="preserve"> </w:t>
      </w:r>
      <w:r w:rsidRPr="00FC4F5F">
        <w:rPr>
          <w:rFonts w:ascii="Arial" w:eastAsia="Calibri" w:hAnsi="Arial" w:cs="Arial"/>
          <w:lang w:eastAsia="en-AU"/>
        </w:rPr>
        <w:t xml:space="preserve">will be required to draw on advice from expert committees about investment and allocation decisions. Each committee will have both Noongar representatives and other relevant experts who hold extensive knowledge and experience in working with Trusts. </w:t>
      </w:r>
    </w:p>
    <w:p w:rsidR="00530B00" w:rsidRPr="00FC4F5F" w:rsidRDefault="00530B00" w:rsidP="00530B00">
      <w:pPr>
        <w:spacing w:after="0"/>
        <w:jc w:val="both"/>
        <w:rPr>
          <w:rFonts w:ascii="Arial" w:eastAsia="Calibri" w:hAnsi="Arial" w:cs="Arial"/>
          <w:lang w:eastAsia="en-AU"/>
        </w:rPr>
      </w:pPr>
    </w:p>
    <w:p w:rsidR="001A76C9" w:rsidRDefault="001A76C9" w:rsidP="007749DA">
      <w:pPr>
        <w:jc w:val="center"/>
        <w:rPr>
          <w:rFonts w:ascii="Arial" w:eastAsia="Calibri" w:hAnsi="Arial" w:cs="Arial"/>
          <w:b/>
        </w:rPr>
      </w:pPr>
      <w:r w:rsidRPr="000D3BCF">
        <w:rPr>
          <w:rFonts w:ascii="ArialMT" w:hAnsi="ArialMT" w:cs="ArialMT"/>
          <w:color w:val="C75928"/>
          <w:sz w:val="48"/>
          <w:szCs w:val="48"/>
        </w:rPr>
        <w:lastRenderedPageBreak/>
        <w:t>Establishment</w:t>
      </w:r>
      <w:r>
        <w:rPr>
          <w:rFonts w:ascii="Arial" w:eastAsia="Calibri" w:hAnsi="Arial" w:cs="Arial"/>
          <w:b/>
        </w:rPr>
        <w:t xml:space="preserve"> </w:t>
      </w:r>
      <w:r w:rsidRPr="009C1F7F">
        <w:rPr>
          <w:rFonts w:ascii="ArialMT" w:hAnsi="ArialMT" w:cs="ArialMT"/>
          <w:color w:val="C75928"/>
          <w:sz w:val="48"/>
          <w:szCs w:val="48"/>
        </w:rPr>
        <w:t>of</w:t>
      </w:r>
      <w:r>
        <w:rPr>
          <w:rFonts w:ascii="Arial" w:eastAsia="Calibri" w:hAnsi="Arial" w:cs="Arial"/>
          <w:b/>
        </w:rPr>
        <w:t xml:space="preserve"> </w:t>
      </w:r>
      <w:r w:rsidRPr="000D3BCF">
        <w:rPr>
          <w:rFonts w:ascii="ArialMT" w:hAnsi="ArialMT" w:cs="ArialMT"/>
          <w:color w:val="C75928"/>
          <w:sz w:val="48"/>
          <w:szCs w:val="48"/>
        </w:rPr>
        <w:t>the</w:t>
      </w:r>
      <w:r>
        <w:rPr>
          <w:rFonts w:ascii="Arial" w:eastAsia="Calibri" w:hAnsi="Arial" w:cs="Arial"/>
          <w:b/>
        </w:rPr>
        <w:t xml:space="preserve"> </w:t>
      </w:r>
      <w:r w:rsidRPr="000D3BCF">
        <w:rPr>
          <w:rFonts w:ascii="ArialMT" w:hAnsi="ArialMT" w:cs="ArialMT"/>
          <w:color w:val="C75928"/>
          <w:sz w:val="48"/>
          <w:szCs w:val="48"/>
        </w:rPr>
        <w:t>Noongar</w:t>
      </w:r>
      <w:r>
        <w:rPr>
          <w:rFonts w:ascii="Arial" w:eastAsia="Calibri" w:hAnsi="Arial" w:cs="Arial"/>
          <w:b/>
        </w:rPr>
        <w:t xml:space="preserve"> </w:t>
      </w:r>
      <w:r w:rsidRPr="000D3BCF">
        <w:rPr>
          <w:rFonts w:ascii="ArialMT" w:hAnsi="ArialMT" w:cs="ArialMT"/>
          <w:color w:val="C75928"/>
          <w:sz w:val="48"/>
          <w:szCs w:val="48"/>
        </w:rPr>
        <w:t>Corporations</w:t>
      </w:r>
    </w:p>
    <w:p w:rsidR="00F03A18" w:rsidRDefault="001A76C9" w:rsidP="00F03A18">
      <w:pPr>
        <w:spacing w:after="0"/>
        <w:jc w:val="both"/>
        <w:rPr>
          <w:rFonts w:ascii="Arial" w:hAnsi="Arial" w:cs="Arial"/>
        </w:rPr>
      </w:pPr>
      <w:r w:rsidRPr="00A67642">
        <w:rPr>
          <w:rFonts w:ascii="Arial" w:hAnsi="Arial" w:cs="Arial"/>
        </w:rPr>
        <w:t xml:space="preserve">SWALSC </w:t>
      </w:r>
      <w:r>
        <w:rPr>
          <w:rFonts w:ascii="Arial" w:hAnsi="Arial" w:cs="Arial"/>
        </w:rPr>
        <w:t xml:space="preserve">is </w:t>
      </w:r>
      <w:r w:rsidR="00B23A08">
        <w:rPr>
          <w:rFonts w:ascii="Arial" w:hAnsi="Arial" w:cs="Arial"/>
        </w:rPr>
        <w:t xml:space="preserve">continuing to </w:t>
      </w:r>
      <w:r>
        <w:rPr>
          <w:rFonts w:ascii="Arial" w:hAnsi="Arial" w:cs="Arial"/>
        </w:rPr>
        <w:t>facilitat</w:t>
      </w:r>
      <w:r w:rsidR="00B23A08">
        <w:rPr>
          <w:rFonts w:ascii="Arial" w:hAnsi="Arial" w:cs="Arial"/>
        </w:rPr>
        <w:t>e</w:t>
      </w:r>
      <w:r>
        <w:rPr>
          <w:rFonts w:ascii="Arial" w:hAnsi="Arial" w:cs="Arial"/>
        </w:rPr>
        <w:t xml:space="preserve"> processes </w:t>
      </w:r>
      <w:r w:rsidR="00BF13C1">
        <w:rPr>
          <w:rFonts w:ascii="Arial" w:hAnsi="Arial" w:cs="Arial"/>
        </w:rPr>
        <w:t xml:space="preserve">toward </w:t>
      </w:r>
      <w:r>
        <w:rPr>
          <w:rFonts w:ascii="Arial" w:hAnsi="Arial" w:cs="Arial"/>
        </w:rPr>
        <w:t>the establishment of the six</w:t>
      </w:r>
      <w:r w:rsidRPr="00A67642">
        <w:rPr>
          <w:rFonts w:ascii="Arial" w:hAnsi="Arial" w:cs="Arial"/>
        </w:rPr>
        <w:t xml:space="preserve"> Noongar Regional Corporations</w:t>
      </w:r>
      <w:r>
        <w:rPr>
          <w:rFonts w:ascii="Arial" w:hAnsi="Arial" w:cs="Arial"/>
        </w:rPr>
        <w:t xml:space="preserve"> by the ILUA </w:t>
      </w:r>
      <w:r w:rsidR="00682A60">
        <w:rPr>
          <w:rFonts w:ascii="Arial" w:hAnsi="Arial" w:cs="Arial"/>
        </w:rPr>
        <w:t>g</w:t>
      </w:r>
      <w:r>
        <w:rPr>
          <w:rFonts w:ascii="Arial" w:hAnsi="Arial" w:cs="Arial"/>
        </w:rPr>
        <w:t>roups</w:t>
      </w:r>
      <w:r w:rsidR="00FF29E3">
        <w:rPr>
          <w:rFonts w:ascii="Arial" w:hAnsi="Arial" w:cs="Arial"/>
        </w:rPr>
        <w:t>.</w:t>
      </w:r>
    </w:p>
    <w:p w:rsidR="008927EE" w:rsidRDefault="008927EE" w:rsidP="001A76C9">
      <w:pPr>
        <w:spacing w:after="0"/>
        <w:jc w:val="both"/>
        <w:rPr>
          <w:rFonts w:ascii="Arial" w:hAnsi="Arial" w:cs="Arial"/>
        </w:rPr>
      </w:pPr>
    </w:p>
    <w:p w:rsidR="00F03A18" w:rsidRDefault="00FF29E3" w:rsidP="00441D50">
      <w:pPr>
        <w:spacing w:after="0"/>
        <w:jc w:val="both"/>
        <w:rPr>
          <w:rFonts w:ascii="Arial" w:hAnsi="Arial" w:cs="Arial"/>
        </w:rPr>
      </w:pPr>
      <w:r>
        <w:rPr>
          <w:rFonts w:ascii="Arial" w:hAnsi="Arial" w:cs="Arial"/>
        </w:rPr>
        <w:t xml:space="preserve">A Transition Program is being finalised which sets out how the Regional Corporations will be established by the ILUA </w:t>
      </w:r>
      <w:r w:rsidR="00682A60">
        <w:rPr>
          <w:rFonts w:ascii="Arial" w:hAnsi="Arial" w:cs="Arial"/>
        </w:rPr>
        <w:t>g</w:t>
      </w:r>
      <w:r>
        <w:rPr>
          <w:rFonts w:ascii="Arial" w:hAnsi="Arial" w:cs="Arial"/>
        </w:rPr>
        <w:t>roups. Once the Transition Program has been finalised the DPC</w:t>
      </w:r>
      <w:r w:rsidR="004C1942">
        <w:rPr>
          <w:rFonts w:ascii="Arial" w:hAnsi="Arial" w:cs="Arial"/>
        </w:rPr>
        <w:t xml:space="preserve"> and SWALSC</w:t>
      </w:r>
      <w:r>
        <w:rPr>
          <w:rFonts w:ascii="Arial" w:hAnsi="Arial" w:cs="Arial"/>
        </w:rPr>
        <w:t xml:space="preserve"> will distribute this document so that stakeholders also have an understanding of how the </w:t>
      </w:r>
      <w:r w:rsidR="001B5FF7">
        <w:rPr>
          <w:rFonts w:ascii="Arial" w:hAnsi="Arial" w:cs="Arial"/>
        </w:rPr>
        <w:t>C</w:t>
      </w:r>
      <w:r>
        <w:rPr>
          <w:rFonts w:ascii="Arial" w:hAnsi="Arial" w:cs="Arial"/>
        </w:rPr>
        <w:t xml:space="preserve">orporations will be established in line with the registration and commencement of the Settlement. </w:t>
      </w:r>
    </w:p>
    <w:p w:rsidR="00085308" w:rsidRDefault="00085308" w:rsidP="00441D50">
      <w:pPr>
        <w:spacing w:after="0"/>
        <w:jc w:val="both"/>
        <w:rPr>
          <w:rFonts w:ascii="Arial" w:hAnsi="Arial" w:cs="Arial"/>
        </w:rPr>
      </w:pPr>
    </w:p>
    <w:p w:rsidR="0010025E" w:rsidRDefault="0010025E" w:rsidP="009D7AE5">
      <w:pPr>
        <w:jc w:val="center"/>
        <w:rPr>
          <w:rFonts w:ascii="Arial" w:eastAsia="Calibri" w:hAnsi="Arial" w:cs="Arial"/>
          <w:b/>
        </w:rPr>
      </w:pPr>
      <w:r w:rsidRPr="000D3BCF">
        <w:rPr>
          <w:rFonts w:ascii="ArialMT" w:hAnsi="ArialMT" w:cs="ArialMT"/>
          <w:color w:val="C75928"/>
          <w:sz w:val="48"/>
          <w:szCs w:val="48"/>
        </w:rPr>
        <w:t>Noongar</w:t>
      </w:r>
      <w:r>
        <w:rPr>
          <w:rFonts w:ascii="Arial" w:eastAsia="Calibri" w:hAnsi="Arial" w:cs="Arial"/>
          <w:b/>
        </w:rPr>
        <w:t xml:space="preserve"> </w:t>
      </w:r>
      <w:r w:rsidRPr="000D3BCF">
        <w:rPr>
          <w:rFonts w:ascii="ArialMT" w:hAnsi="ArialMT" w:cs="ArialMT"/>
          <w:color w:val="C75928"/>
          <w:sz w:val="48"/>
          <w:szCs w:val="48"/>
        </w:rPr>
        <w:t>Standard</w:t>
      </w:r>
      <w:r>
        <w:rPr>
          <w:rFonts w:ascii="Arial" w:eastAsia="Calibri" w:hAnsi="Arial" w:cs="Arial"/>
          <w:b/>
        </w:rPr>
        <w:t xml:space="preserve"> </w:t>
      </w:r>
      <w:r w:rsidRPr="000D3BCF">
        <w:rPr>
          <w:rFonts w:ascii="ArialMT" w:hAnsi="ArialMT" w:cs="ArialMT"/>
          <w:color w:val="C75928"/>
          <w:sz w:val="48"/>
          <w:szCs w:val="48"/>
        </w:rPr>
        <w:t>Heritage</w:t>
      </w:r>
      <w:r>
        <w:rPr>
          <w:rFonts w:ascii="Arial" w:eastAsia="Calibri" w:hAnsi="Arial" w:cs="Arial"/>
          <w:b/>
        </w:rPr>
        <w:t xml:space="preserve"> </w:t>
      </w:r>
      <w:r w:rsidRPr="000D3BCF">
        <w:rPr>
          <w:rFonts w:ascii="ArialMT" w:hAnsi="ArialMT" w:cs="ArialMT"/>
          <w:color w:val="C75928"/>
          <w:sz w:val="48"/>
          <w:szCs w:val="48"/>
        </w:rPr>
        <w:t>Agreement</w:t>
      </w:r>
    </w:p>
    <w:p w:rsidR="00D04E67" w:rsidRPr="001D3131" w:rsidRDefault="00D04E67" w:rsidP="00D04E67">
      <w:pPr>
        <w:spacing w:after="0"/>
        <w:jc w:val="both"/>
        <w:rPr>
          <w:rFonts w:ascii="Arial" w:hAnsi="Arial" w:cs="Arial"/>
          <w:color w:val="026694"/>
          <w:sz w:val="34"/>
          <w:szCs w:val="34"/>
        </w:rPr>
      </w:pPr>
      <w:r>
        <w:rPr>
          <w:rFonts w:ascii="Arial" w:hAnsi="Arial" w:cs="Arial"/>
          <w:color w:val="026694"/>
          <w:sz w:val="34"/>
          <w:szCs w:val="34"/>
        </w:rPr>
        <w:t xml:space="preserve">Sign up to the NSHA </w:t>
      </w:r>
      <w:r w:rsidRPr="001D3131">
        <w:rPr>
          <w:rFonts w:ascii="Arial" w:hAnsi="Arial" w:cs="Arial"/>
          <w:color w:val="026694"/>
          <w:sz w:val="34"/>
          <w:szCs w:val="34"/>
        </w:rPr>
        <w:t xml:space="preserve"> </w:t>
      </w:r>
    </w:p>
    <w:p w:rsidR="00FF29E3" w:rsidRDefault="00FF29E3" w:rsidP="00FF29E3">
      <w:pPr>
        <w:spacing w:after="0"/>
        <w:jc w:val="both"/>
        <w:rPr>
          <w:rFonts w:ascii="Arial" w:hAnsi="Arial" w:cs="Arial"/>
        </w:rPr>
      </w:pPr>
      <w:r>
        <w:rPr>
          <w:rFonts w:ascii="Arial" w:hAnsi="Arial" w:cs="Arial"/>
          <w:iCs/>
        </w:rPr>
        <w:t>T</w:t>
      </w:r>
      <w:r w:rsidR="00531DBB">
        <w:rPr>
          <w:rFonts w:ascii="Arial" w:hAnsi="Arial" w:cs="Arial"/>
          <w:iCs/>
        </w:rPr>
        <w:t xml:space="preserve">he ‘Noongar Standard Heritage Agreement’ (NSHA) </w:t>
      </w:r>
      <w:r w:rsidR="00725D68">
        <w:rPr>
          <w:rFonts w:ascii="Arial" w:hAnsi="Arial" w:cs="Arial"/>
          <w:iCs/>
        </w:rPr>
        <w:t xml:space="preserve">was one element of the ILUAs that </w:t>
      </w:r>
      <w:r w:rsidR="00531DBB">
        <w:rPr>
          <w:rFonts w:ascii="Arial" w:hAnsi="Arial" w:cs="Arial"/>
          <w:iCs/>
        </w:rPr>
        <w:t>commence</w:t>
      </w:r>
      <w:r w:rsidR="00D23704">
        <w:rPr>
          <w:rFonts w:ascii="Arial" w:hAnsi="Arial" w:cs="Arial"/>
          <w:iCs/>
        </w:rPr>
        <w:t xml:space="preserve">d upon </w:t>
      </w:r>
      <w:r w:rsidR="001B5FF7">
        <w:rPr>
          <w:rFonts w:ascii="Arial" w:hAnsi="Arial" w:cs="Arial"/>
          <w:iCs/>
        </w:rPr>
        <w:t xml:space="preserve">ILUA </w:t>
      </w:r>
      <w:r w:rsidR="00725D68">
        <w:rPr>
          <w:rFonts w:ascii="Arial" w:hAnsi="Arial" w:cs="Arial"/>
          <w:iCs/>
        </w:rPr>
        <w:t>execution</w:t>
      </w:r>
      <w:r w:rsidR="00531DBB">
        <w:rPr>
          <w:rFonts w:ascii="Arial" w:hAnsi="Arial" w:cs="Arial"/>
          <w:iCs/>
        </w:rPr>
        <w:t xml:space="preserve"> on 8 June 2015.  </w:t>
      </w:r>
      <w:r>
        <w:rPr>
          <w:rFonts w:ascii="Arial" w:hAnsi="Arial" w:cs="Arial"/>
          <w:iCs/>
        </w:rPr>
        <w:t xml:space="preserve">From that date </w:t>
      </w:r>
      <w:r w:rsidRPr="00905D58">
        <w:rPr>
          <w:rFonts w:ascii="Arial" w:hAnsi="Arial" w:cs="Arial"/>
        </w:rPr>
        <w:t xml:space="preserve">WA Government </w:t>
      </w:r>
      <w:r>
        <w:rPr>
          <w:rFonts w:ascii="Arial" w:hAnsi="Arial" w:cs="Arial"/>
        </w:rPr>
        <w:t>agencies were</w:t>
      </w:r>
      <w:r w:rsidRPr="00905D58">
        <w:rPr>
          <w:rFonts w:ascii="Arial" w:hAnsi="Arial" w:cs="Arial"/>
        </w:rPr>
        <w:t xml:space="preserve"> required to enter into a NSHA</w:t>
      </w:r>
      <w:r w:rsidR="001B5FF7">
        <w:rPr>
          <w:rFonts w:ascii="Arial" w:hAnsi="Arial" w:cs="Arial"/>
        </w:rPr>
        <w:t xml:space="preserve"> with</w:t>
      </w:r>
      <w:r w:rsidRPr="00905D58">
        <w:rPr>
          <w:rFonts w:ascii="Arial" w:hAnsi="Arial" w:cs="Arial"/>
        </w:rPr>
        <w:t xml:space="preserve"> </w:t>
      </w:r>
      <w:r>
        <w:rPr>
          <w:rFonts w:ascii="Arial" w:hAnsi="Arial" w:cs="Arial"/>
        </w:rPr>
        <w:t xml:space="preserve">SWALSC on behalf of </w:t>
      </w:r>
      <w:r w:rsidRPr="00905D58">
        <w:rPr>
          <w:rFonts w:ascii="Arial" w:hAnsi="Arial" w:cs="Arial"/>
        </w:rPr>
        <w:t>the relevant ILUA group when conducting an Aboriginal Heritage Survey in a</w:t>
      </w:r>
      <w:r>
        <w:rPr>
          <w:rFonts w:ascii="Arial" w:hAnsi="Arial" w:cs="Arial"/>
        </w:rPr>
        <w:t>n ILUA area, unless they had a pre-</w:t>
      </w:r>
      <w:r w:rsidRPr="00905D58">
        <w:rPr>
          <w:rFonts w:ascii="Arial" w:hAnsi="Arial" w:cs="Arial"/>
        </w:rPr>
        <w:t>existing heritage agreement</w:t>
      </w:r>
      <w:r>
        <w:rPr>
          <w:rFonts w:ascii="Arial" w:hAnsi="Arial" w:cs="Arial"/>
        </w:rPr>
        <w:t xml:space="preserve">. </w:t>
      </w:r>
    </w:p>
    <w:p w:rsidR="00531DBB" w:rsidRDefault="00531DBB" w:rsidP="005B4C8C">
      <w:pPr>
        <w:spacing w:after="0"/>
        <w:jc w:val="both"/>
        <w:rPr>
          <w:rFonts w:ascii="Arial" w:hAnsi="Arial" w:cs="Arial"/>
          <w:iCs/>
        </w:rPr>
      </w:pPr>
    </w:p>
    <w:p w:rsidR="00FF29E3" w:rsidRDefault="00F04ACE" w:rsidP="005B4C8C">
      <w:pPr>
        <w:spacing w:after="0"/>
        <w:jc w:val="both"/>
        <w:rPr>
          <w:rFonts w:ascii="Arial" w:hAnsi="Arial" w:cs="Arial"/>
          <w:iCs/>
        </w:rPr>
      </w:pPr>
      <w:r>
        <w:rPr>
          <w:rFonts w:ascii="Arial" w:hAnsi="Arial" w:cs="Arial"/>
          <w:iCs/>
        </w:rPr>
        <w:t xml:space="preserve">With the </w:t>
      </w:r>
      <w:r w:rsidR="00531DBB">
        <w:rPr>
          <w:rFonts w:ascii="Arial" w:hAnsi="Arial" w:cs="Arial"/>
          <w:iCs/>
        </w:rPr>
        <w:t>NSHA now</w:t>
      </w:r>
      <w:r w:rsidR="00D04E67" w:rsidRPr="00D04E67">
        <w:rPr>
          <w:rFonts w:ascii="Arial" w:hAnsi="Arial" w:cs="Arial"/>
          <w:iCs/>
        </w:rPr>
        <w:t xml:space="preserve"> </w:t>
      </w:r>
      <w:r w:rsidR="00531DBB">
        <w:rPr>
          <w:rFonts w:ascii="Arial" w:hAnsi="Arial" w:cs="Arial"/>
          <w:iCs/>
        </w:rPr>
        <w:t xml:space="preserve">in operation for </w:t>
      </w:r>
      <w:r w:rsidR="00FF29E3">
        <w:rPr>
          <w:rFonts w:ascii="Arial" w:hAnsi="Arial" w:cs="Arial"/>
          <w:iCs/>
        </w:rPr>
        <w:t xml:space="preserve">just </w:t>
      </w:r>
      <w:r w:rsidR="00531DBB">
        <w:rPr>
          <w:rFonts w:ascii="Arial" w:hAnsi="Arial" w:cs="Arial"/>
          <w:iCs/>
        </w:rPr>
        <w:t>over a year, three agencies – M</w:t>
      </w:r>
      <w:r w:rsidR="00E96059">
        <w:rPr>
          <w:rFonts w:ascii="Arial" w:hAnsi="Arial" w:cs="Arial"/>
          <w:iCs/>
        </w:rPr>
        <w:t>ain Roads WA, the Water Corporation and the Department of Parks and Wildlife</w:t>
      </w:r>
      <w:r w:rsidR="00531DBB">
        <w:rPr>
          <w:rFonts w:ascii="Arial" w:hAnsi="Arial" w:cs="Arial"/>
          <w:iCs/>
        </w:rPr>
        <w:t xml:space="preserve">, </w:t>
      </w:r>
      <w:r w:rsidR="00D04E67" w:rsidRPr="00D04E67">
        <w:rPr>
          <w:rFonts w:ascii="Arial" w:hAnsi="Arial" w:cs="Arial"/>
          <w:iCs/>
        </w:rPr>
        <w:t xml:space="preserve">have signed up </w:t>
      </w:r>
      <w:r w:rsidR="00D04E67">
        <w:rPr>
          <w:rFonts w:ascii="Arial" w:hAnsi="Arial" w:cs="Arial"/>
          <w:iCs/>
        </w:rPr>
        <w:t>to a total of 13 NSHAs across the six ILUA areas</w:t>
      </w:r>
      <w:r w:rsidR="00531DBB">
        <w:rPr>
          <w:rFonts w:ascii="Arial" w:hAnsi="Arial" w:cs="Arial"/>
          <w:iCs/>
        </w:rPr>
        <w:t>.  A</w:t>
      </w:r>
      <w:r w:rsidR="00D04E67" w:rsidRPr="00D04E67">
        <w:rPr>
          <w:rFonts w:ascii="Arial" w:hAnsi="Arial" w:cs="Arial"/>
          <w:iCs/>
        </w:rPr>
        <w:t xml:space="preserve">nother </w:t>
      </w:r>
      <w:r>
        <w:rPr>
          <w:rFonts w:ascii="Arial" w:hAnsi="Arial" w:cs="Arial"/>
          <w:iCs/>
        </w:rPr>
        <w:t>four</w:t>
      </w:r>
      <w:r w:rsidR="00D04E67" w:rsidRPr="00D04E67">
        <w:rPr>
          <w:rFonts w:ascii="Arial" w:hAnsi="Arial" w:cs="Arial"/>
          <w:iCs/>
        </w:rPr>
        <w:t xml:space="preserve"> agencies </w:t>
      </w:r>
      <w:r>
        <w:rPr>
          <w:rFonts w:ascii="Arial" w:hAnsi="Arial" w:cs="Arial"/>
          <w:iCs/>
        </w:rPr>
        <w:t xml:space="preserve">are </w:t>
      </w:r>
      <w:r w:rsidR="00D04E67" w:rsidRPr="00D04E67">
        <w:rPr>
          <w:rFonts w:ascii="Arial" w:hAnsi="Arial" w:cs="Arial"/>
          <w:iCs/>
        </w:rPr>
        <w:t xml:space="preserve">expected to sign </w:t>
      </w:r>
      <w:r w:rsidR="000766BD">
        <w:rPr>
          <w:rFonts w:ascii="Arial" w:hAnsi="Arial" w:cs="Arial"/>
          <w:iCs/>
        </w:rPr>
        <w:t>up</w:t>
      </w:r>
      <w:r>
        <w:rPr>
          <w:rFonts w:ascii="Arial" w:hAnsi="Arial" w:cs="Arial"/>
          <w:iCs/>
        </w:rPr>
        <w:t xml:space="preserve"> in</w:t>
      </w:r>
      <w:r w:rsidR="00D04E67">
        <w:rPr>
          <w:rFonts w:ascii="Arial" w:hAnsi="Arial" w:cs="Arial"/>
          <w:iCs/>
        </w:rPr>
        <w:t xml:space="preserve"> the near future. </w:t>
      </w:r>
    </w:p>
    <w:p w:rsidR="00FF29E3" w:rsidRDefault="00FF29E3" w:rsidP="005B4C8C">
      <w:pPr>
        <w:spacing w:after="0"/>
        <w:jc w:val="both"/>
        <w:rPr>
          <w:rFonts w:ascii="Arial" w:hAnsi="Arial" w:cs="Arial"/>
          <w:iCs/>
        </w:rPr>
      </w:pPr>
    </w:p>
    <w:p w:rsidR="00150296" w:rsidRDefault="00D04E67" w:rsidP="00150296">
      <w:pPr>
        <w:spacing w:after="0"/>
        <w:jc w:val="both"/>
        <w:rPr>
          <w:rFonts w:ascii="Arial" w:eastAsia="Times New Roman" w:hAnsi="Arial" w:cs="Arial"/>
          <w:color w:val="000000"/>
          <w:lang w:val="en" w:eastAsia="en-AU"/>
        </w:rPr>
      </w:pPr>
      <w:r w:rsidRPr="00D04E67">
        <w:rPr>
          <w:rFonts w:ascii="Arial" w:hAnsi="Arial" w:cs="Arial"/>
          <w:iCs/>
        </w:rPr>
        <w:t xml:space="preserve">The Department of Mines and Petroleum has </w:t>
      </w:r>
      <w:r w:rsidR="00F04ACE">
        <w:rPr>
          <w:rFonts w:ascii="Arial" w:hAnsi="Arial" w:cs="Arial"/>
          <w:iCs/>
        </w:rPr>
        <w:t xml:space="preserve">also, </w:t>
      </w:r>
      <w:r w:rsidRPr="00D04E67">
        <w:rPr>
          <w:rFonts w:ascii="Arial" w:hAnsi="Arial" w:cs="Arial"/>
          <w:iCs/>
        </w:rPr>
        <w:t>since 8 June 2015</w:t>
      </w:r>
      <w:r w:rsidR="00F04ACE">
        <w:rPr>
          <w:rFonts w:ascii="Arial" w:hAnsi="Arial" w:cs="Arial"/>
          <w:iCs/>
        </w:rPr>
        <w:t>,</w:t>
      </w:r>
      <w:r w:rsidRPr="00D04E67">
        <w:rPr>
          <w:rFonts w:ascii="Arial" w:hAnsi="Arial" w:cs="Arial"/>
          <w:iCs/>
        </w:rPr>
        <w:t xml:space="preserve"> been granting new tenem</w:t>
      </w:r>
      <w:r w:rsidR="00F04ACE">
        <w:rPr>
          <w:rFonts w:ascii="Arial" w:hAnsi="Arial" w:cs="Arial"/>
          <w:iCs/>
        </w:rPr>
        <w:t xml:space="preserve">ents </w:t>
      </w:r>
      <w:r w:rsidR="005B4C8C">
        <w:rPr>
          <w:rFonts w:ascii="Arial" w:hAnsi="Arial" w:cs="Arial"/>
          <w:iCs/>
        </w:rPr>
        <w:t xml:space="preserve">in the ILUA areas </w:t>
      </w:r>
      <w:r w:rsidR="00B70BB5">
        <w:rPr>
          <w:rFonts w:ascii="Arial" w:hAnsi="Arial" w:cs="Arial"/>
          <w:iCs/>
        </w:rPr>
        <w:t xml:space="preserve">with a heritage condition. </w:t>
      </w:r>
      <w:r w:rsidR="0099634F">
        <w:rPr>
          <w:rFonts w:ascii="Arial" w:hAnsi="Arial" w:cs="Arial"/>
          <w:iCs/>
        </w:rPr>
        <w:t xml:space="preserve">To date </w:t>
      </w:r>
      <w:r w:rsidR="00855C95">
        <w:rPr>
          <w:rFonts w:ascii="Arial" w:hAnsi="Arial" w:cs="Arial"/>
          <w:iCs/>
        </w:rPr>
        <w:t xml:space="preserve">91 </w:t>
      </w:r>
      <w:r w:rsidR="00F04ACE">
        <w:rPr>
          <w:rFonts w:ascii="Arial" w:hAnsi="Arial" w:cs="Arial"/>
          <w:iCs/>
        </w:rPr>
        <w:t xml:space="preserve">live tenements now have a condition on title, and </w:t>
      </w:r>
      <w:r w:rsidR="00D23704">
        <w:rPr>
          <w:rFonts w:ascii="Arial" w:hAnsi="Arial" w:cs="Arial"/>
          <w:iCs/>
        </w:rPr>
        <w:t>14</w:t>
      </w:r>
      <w:r w:rsidRPr="00D04E67">
        <w:rPr>
          <w:rFonts w:ascii="Arial" w:hAnsi="Arial" w:cs="Arial"/>
          <w:iCs/>
        </w:rPr>
        <w:t xml:space="preserve"> tenement holders </w:t>
      </w:r>
      <w:r w:rsidR="00F04ACE">
        <w:rPr>
          <w:rFonts w:ascii="Arial" w:hAnsi="Arial" w:cs="Arial"/>
          <w:iCs/>
        </w:rPr>
        <w:t>have already</w:t>
      </w:r>
      <w:r w:rsidRPr="00D04E67">
        <w:rPr>
          <w:rFonts w:ascii="Arial" w:hAnsi="Arial" w:cs="Arial"/>
          <w:iCs/>
        </w:rPr>
        <w:t xml:space="preserve"> signed up to the NSHA.  </w:t>
      </w:r>
      <w:r w:rsidR="00F04ACE">
        <w:rPr>
          <w:rFonts w:ascii="Arial" w:hAnsi="Arial" w:cs="Arial"/>
          <w:iCs/>
        </w:rPr>
        <w:t xml:space="preserve">While Proponents with </w:t>
      </w:r>
      <w:r w:rsidR="005B4C8C">
        <w:rPr>
          <w:rFonts w:ascii="Arial" w:hAnsi="Arial" w:cs="Arial"/>
          <w:iCs/>
        </w:rPr>
        <w:t>a heritage condition</w:t>
      </w:r>
      <w:r w:rsidR="00F04ACE">
        <w:rPr>
          <w:rFonts w:ascii="Arial" w:hAnsi="Arial" w:cs="Arial"/>
          <w:iCs/>
        </w:rPr>
        <w:t xml:space="preserve"> have the initial option to nominate to enter into a </w:t>
      </w:r>
      <w:r w:rsidR="00F04ACE" w:rsidRPr="00F04ACE">
        <w:rPr>
          <w:rFonts w:ascii="Arial" w:hAnsi="Arial" w:cs="Arial"/>
          <w:iCs/>
        </w:rPr>
        <w:t xml:space="preserve">NSHA or </w:t>
      </w:r>
      <w:r w:rsidR="00F04ACE">
        <w:rPr>
          <w:rFonts w:ascii="Arial" w:hAnsi="Arial" w:cs="Arial"/>
          <w:iCs/>
        </w:rPr>
        <w:t xml:space="preserve">seek to negotiate </w:t>
      </w:r>
      <w:r w:rsidR="00F04ACE" w:rsidRPr="00F04ACE">
        <w:rPr>
          <w:rFonts w:ascii="Arial" w:hAnsi="Arial" w:cs="Arial"/>
          <w:iCs/>
        </w:rPr>
        <w:t>another form of Heritage Agreement</w:t>
      </w:r>
      <w:r w:rsidR="00F04ACE">
        <w:rPr>
          <w:rFonts w:ascii="Arial" w:hAnsi="Arial" w:cs="Arial"/>
          <w:iCs/>
        </w:rPr>
        <w:t xml:space="preserve"> with SWALSC</w:t>
      </w:r>
      <w:r w:rsidR="00E96059">
        <w:rPr>
          <w:rFonts w:ascii="Arial" w:hAnsi="Arial" w:cs="Arial"/>
          <w:iCs/>
        </w:rPr>
        <w:t xml:space="preserve">, the NSHA is </w:t>
      </w:r>
      <w:r w:rsidR="00F04ACE" w:rsidRPr="00F04ACE">
        <w:rPr>
          <w:rFonts w:ascii="Arial" w:hAnsi="Arial" w:cs="Arial"/>
          <w:iCs/>
        </w:rPr>
        <w:t>SWALSC’</w:t>
      </w:r>
      <w:r w:rsidR="00F04ACE">
        <w:rPr>
          <w:rFonts w:ascii="Arial" w:hAnsi="Arial" w:cs="Arial"/>
          <w:iCs/>
        </w:rPr>
        <w:t>s preferred option.</w:t>
      </w:r>
      <w:r w:rsidR="00150296">
        <w:rPr>
          <w:rFonts w:ascii="Arial" w:hAnsi="Arial" w:cs="Arial"/>
          <w:iCs/>
        </w:rPr>
        <w:t xml:space="preserve"> </w:t>
      </w:r>
      <w:r w:rsidR="00150296" w:rsidRPr="00A04D55">
        <w:rPr>
          <w:rFonts w:ascii="Arial" w:eastAsia="Times New Roman" w:hAnsi="Arial" w:cs="Arial"/>
          <w:color w:val="000000"/>
          <w:lang w:val="en" w:eastAsia="en-AU"/>
        </w:rPr>
        <w:t xml:space="preserve">Industry Proponents can visit the </w:t>
      </w:r>
      <w:hyperlink r:id="rId12" w:tgtFrame="_blank" w:tooltip="Visit the DMP website" w:history="1">
        <w:r w:rsidR="001772B8" w:rsidRPr="001772B8">
          <w:rPr>
            <w:rFonts w:ascii="Arial" w:hAnsi="Arial" w:cs="Arial"/>
            <w:color w:val="003366"/>
            <w:u w:val="single"/>
            <w:lang w:val="en"/>
          </w:rPr>
          <w:t>Department of Mines and Petroleum website</w:t>
        </w:r>
      </w:hyperlink>
      <w:r w:rsidR="00150296">
        <w:rPr>
          <w:rFonts w:ascii="Arial" w:eastAsia="Times New Roman" w:hAnsi="Arial" w:cs="Arial"/>
          <w:color w:val="000000"/>
          <w:lang w:val="en" w:eastAsia="en-AU"/>
        </w:rPr>
        <w:t xml:space="preserve"> for more information.</w:t>
      </w:r>
    </w:p>
    <w:p w:rsidR="00B57F60" w:rsidRDefault="00B57F60" w:rsidP="00150296">
      <w:pPr>
        <w:spacing w:after="0"/>
        <w:jc w:val="both"/>
        <w:rPr>
          <w:rFonts w:ascii="Arial" w:eastAsia="Times New Roman" w:hAnsi="Arial" w:cs="Arial"/>
          <w:color w:val="000000"/>
          <w:lang w:val="en" w:eastAsia="en-AU"/>
        </w:rPr>
      </w:pPr>
    </w:p>
    <w:p w:rsidR="00B57F60" w:rsidRPr="00B57F60" w:rsidRDefault="00B57F60" w:rsidP="0099634F">
      <w:pPr>
        <w:jc w:val="both"/>
        <w:rPr>
          <w:rFonts w:ascii="Arial" w:eastAsia="Times New Roman" w:hAnsi="Arial" w:cs="Arial"/>
          <w:color w:val="000000"/>
          <w:lang w:val="en" w:eastAsia="en-AU"/>
        </w:rPr>
      </w:pPr>
      <w:r>
        <w:rPr>
          <w:rFonts w:ascii="Arial" w:eastAsia="Times New Roman" w:hAnsi="Arial" w:cs="Arial"/>
          <w:color w:val="000000"/>
          <w:lang w:val="en" w:eastAsia="en-AU"/>
        </w:rPr>
        <w:t xml:space="preserve">Other land users, including Local Government, are encouraged to consider using the NSHA when an activity may require a heritage survey.  </w:t>
      </w:r>
      <w:r w:rsidRPr="00B57F60">
        <w:rPr>
          <w:rFonts w:ascii="Arial" w:eastAsia="Times New Roman" w:hAnsi="Arial" w:cs="Arial"/>
          <w:color w:val="000000"/>
          <w:lang w:val="en" w:eastAsia="en-AU"/>
        </w:rPr>
        <w:t xml:space="preserve">Where </w:t>
      </w:r>
      <w:r w:rsidR="00B70BB5">
        <w:rPr>
          <w:rFonts w:ascii="Arial" w:eastAsia="Times New Roman" w:hAnsi="Arial" w:cs="Arial"/>
          <w:color w:val="000000"/>
          <w:lang w:val="en" w:eastAsia="en-AU"/>
        </w:rPr>
        <w:t>a</w:t>
      </w:r>
      <w:r>
        <w:rPr>
          <w:rFonts w:ascii="Arial" w:eastAsia="Times New Roman" w:hAnsi="Arial" w:cs="Arial"/>
          <w:color w:val="000000"/>
          <w:lang w:val="en" w:eastAsia="en-AU"/>
        </w:rPr>
        <w:t xml:space="preserve"> NSHA is not used, following</w:t>
      </w:r>
      <w:r w:rsidRPr="00B57F60">
        <w:rPr>
          <w:rFonts w:ascii="Arial" w:eastAsia="Times New Roman" w:hAnsi="Arial" w:cs="Arial"/>
          <w:color w:val="000000"/>
          <w:lang w:val="en" w:eastAsia="en-AU"/>
        </w:rPr>
        <w:t xml:space="preserve"> </w:t>
      </w:r>
      <w:r w:rsidR="00C76F2E">
        <w:rPr>
          <w:rFonts w:ascii="Arial" w:eastAsia="Times New Roman" w:hAnsi="Arial" w:cs="Arial"/>
          <w:color w:val="000000"/>
          <w:lang w:val="en" w:eastAsia="en-AU"/>
        </w:rPr>
        <w:t xml:space="preserve">the </w:t>
      </w:r>
      <w:r w:rsidRPr="00B57F60">
        <w:rPr>
          <w:rFonts w:ascii="Arial" w:eastAsia="Times New Roman" w:hAnsi="Arial" w:cs="Arial"/>
          <w:color w:val="000000"/>
          <w:lang w:val="en" w:eastAsia="en-AU"/>
        </w:rPr>
        <w:t xml:space="preserve">key </w:t>
      </w:r>
      <w:r>
        <w:rPr>
          <w:rFonts w:ascii="Arial" w:eastAsia="Times New Roman" w:hAnsi="Arial" w:cs="Arial"/>
          <w:color w:val="000000"/>
          <w:lang w:val="en" w:eastAsia="en-AU"/>
        </w:rPr>
        <w:t xml:space="preserve">NSHA </w:t>
      </w:r>
      <w:r w:rsidRPr="00B57F60">
        <w:rPr>
          <w:rFonts w:ascii="Arial" w:eastAsia="Times New Roman" w:hAnsi="Arial" w:cs="Arial"/>
          <w:color w:val="000000"/>
          <w:lang w:val="en" w:eastAsia="en-AU"/>
        </w:rPr>
        <w:t>elements</w:t>
      </w:r>
      <w:r w:rsidR="00FF29E3">
        <w:rPr>
          <w:rFonts w:ascii="Arial" w:eastAsia="Times New Roman" w:hAnsi="Arial" w:cs="Arial"/>
          <w:color w:val="000000"/>
          <w:lang w:val="en" w:eastAsia="en-AU"/>
        </w:rPr>
        <w:t xml:space="preserve">, </w:t>
      </w:r>
      <w:r w:rsidR="00E679B6">
        <w:rPr>
          <w:rFonts w:ascii="Arial" w:eastAsia="Times New Roman" w:hAnsi="Arial" w:cs="Arial"/>
          <w:color w:val="000000"/>
          <w:lang w:val="en" w:eastAsia="en-AU"/>
        </w:rPr>
        <w:t>including</w:t>
      </w:r>
      <w:r w:rsidR="00FF29E3">
        <w:rPr>
          <w:rFonts w:ascii="Arial" w:eastAsia="Times New Roman" w:hAnsi="Arial" w:cs="Arial"/>
          <w:color w:val="000000"/>
          <w:lang w:val="en" w:eastAsia="en-AU"/>
        </w:rPr>
        <w:t xml:space="preserve"> use of the </w:t>
      </w:r>
      <w:hyperlink r:id="rId13" w:tgtFrame="_blank" w:tooltip="Read the Guidelines" w:history="1">
        <w:r w:rsidR="007416E7" w:rsidRPr="007416E7">
          <w:rPr>
            <w:rFonts w:ascii="Arial" w:hAnsi="Arial" w:cs="Arial"/>
            <w:color w:val="003366"/>
            <w:u w:val="single"/>
            <w:lang w:val="en"/>
          </w:rPr>
          <w:t>Aboriginal Heritage Due Diligence Guidelines</w:t>
        </w:r>
      </w:hyperlink>
      <w:r w:rsidR="00FF29E3">
        <w:rPr>
          <w:rFonts w:ascii="Arial" w:eastAsia="Times New Roman" w:hAnsi="Arial" w:cs="Arial"/>
          <w:color w:val="000000"/>
          <w:lang w:val="en" w:eastAsia="en-AU"/>
        </w:rPr>
        <w:t>,</w:t>
      </w:r>
      <w:r w:rsidRPr="00B57F60">
        <w:rPr>
          <w:rFonts w:ascii="Arial" w:eastAsia="Times New Roman" w:hAnsi="Arial" w:cs="Arial"/>
          <w:color w:val="000000"/>
          <w:lang w:val="en" w:eastAsia="en-AU"/>
        </w:rPr>
        <w:t xml:space="preserve"> </w:t>
      </w:r>
      <w:r w:rsidR="00C76F2E">
        <w:rPr>
          <w:rFonts w:ascii="Arial" w:eastAsia="Times New Roman" w:hAnsi="Arial" w:cs="Arial"/>
          <w:color w:val="000000"/>
          <w:lang w:val="en" w:eastAsia="en-AU"/>
        </w:rPr>
        <w:t>is valuable</w:t>
      </w:r>
      <w:r>
        <w:rPr>
          <w:rFonts w:ascii="Arial" w:eastAsia="Times New Roman" w:hAnsi="Arial" w:cs="Arial"/>
          <w:color w:val="000000"/>
          <w:lang w:val="en" w:eastAsia="en-AU"/>
        </w:rPr>
        <w:t xml:space="preserve"> in ensuring </w:t>
      </w:r>
      <w:r w:rsidRPr="00B57F60">
        <w:rPr>
          <w:rFonts w:ascii="Arial" w:eastAsia="Times New Roman" w:hAnsi="Arial" w:cs="Arial"/>
          <w:i/>
          <w:color w:val="000000"/>
          <w:lang w:val="en" w:eastAsia="en-AU"/>
        </w:rPr>
        <w:t>Aboriginal Heritage Act 1972</w:t>
      </w:r>
      <w:r>
        <w:rPr>
          <w:rFonts w:ascii="Arial" w:eastAsia="Times New Roman" w:hAnsi="Arial" w:cs="Arial"/>
          <w:color w:val="000000"/>
          <w:lang w:val="en" w:eastAsia="en-AU"/>
        </w:rPr>
        <w:t xml:space="preserve"> compliance.  </w:t>
      </w:r>
    </w:p>
    <w:p w:rsidR="00150296" w:rsidRDefault="005B4C8C" w:rsidP="00150296">
      <w:pPr>
        <w:spacing w:after="0"/>
        <w:jc w:val="both"/>
        <w:rPr>
          <w:rFonts w:ascii="Arial" w:hAnsi="Arial" w:cs="Arial"/>
          <w:iCs/>
        </w:rPr>
      </w:pPr>
      <w:r>
        <w:rPr>
          <w:rFonts w:ascii="Arial" w:hAnsi="Arial" w:cs="Arial"/>
          <w:iCs/>
        </w:rPr>
        <w:t>While SWALSC is currently signing up to NSHAs on behalf of the six Noongar ILUA groups</w:t>
      </w:r>
      <w:r w:rsidR="00150296">
        <w:rPr>
          <w:rFonts w:ascii="Arial" w:hAnsi="Arial" w:cs="Arial"/>
          <w:iCs/>
        </w:rPr>
        <w:t xml:space="preserve">, the </w:t>
      </w:r>
      <w:r w:rsidR="008154F8">
        <w:rPr>
          <w:rFonts w:ascii="Arial" w:hAnsi="Arial" w:cs="Arial"/>
          <w:iCs/>
        </w:rPr>
        <w:t xml:space="preserve">Noongar </w:t>
      </w:r>
      <w:r w:rsidR="00150296">
        <w:rPr>
          <w:rFonts w:ascii="Arial" w:hAnsi="Arial" w:cs="Arial"/>
          <w:iCs/>
        </w:rPr>
        <w:t xml:space="preserve">Regional Corporations will, once established, take on this role. </w:t>
      </w:r>
      <w:r w:rsidR="000766BD">
        <w:rPr>
          <w:rFonts w:ascii="Arial" w:hAnsi="Arial" w:cs="Arial"/>
          <w:iCs/>
        </w:rPr>
        <w:t>At this time all</w:t>
      </w:r>
      <w:r w:rsidR="00150296">
        <w:rPr>
          <w:rFonts w:ascii="Arial" w:hAnsi="Arial" w:cs="Arial"/>
          <w:iCs/>
        </w:rPr>
        <w:t xml:space="preserve"> </w:t>
      </w:r>
      <w:r w:rsidR="00150296" w:rsidRPr="00150296">
        <w:rPr>
          <w:rFonts w:ascii="Arial" w:hAnsi="Arial" w:cs="Arial"/>
          <w:iCs/>
        </w:rPr>
        <w:t xml:space="preserve">existing NSHAs will </w:t>
      </w:r>
      <w:r w:rsidR="00150296">
        <w:rPr>
          <w:rFonts w:ascii="Arial" w:hAnsi="Arial" w:cs="Arial"/>
          <w:iCs/>
        </w:rPr>
        <w:t>transfer</w:t>
      </w:r>
      <w:r w:rsidR="00150296" w:rsidRPr="00150296">
        <w:rPr>
          <w:rFonts w:ascii="Arial" w:hAnsi="Arial" w:cs="Arial"/>
          <w:iCs/>
        </w:rPr>
        <w:t xml:space="preserve"> to the relevant</w:t>
      </w:r>
      <w:r w:rsidR="000766BD">
        <w:rPr>
          <w:rFonts w:ascii="Arial" w:hAnsi="Arial" w:cs="Arial"/>
          <w:iCs/>
        </w:rPr>
        <w:t xml:space="preserve"> Noongar Regional Corporation</w:t>
      </w:r>
      <w:r w:rsidR="00E96059">
        <w:rPr>
          <w:rFonts w:ascii="Arial" w:hAnsi="Arial" w:cs="Arial"/>
          <w:iCs/>
        </w:rPr>
        <w:t>/s</w:t>
      </w:r>
      <w:r w:rsidR="000766BD">
        <w:rPr>
          <w:rFonts w:ascii="Arial" w:hAnsi="Arial" w:cs="Arial"/>
          <w:iCs/>
        </w:rPr>
        <w:t xml:space="preserve"> – </w:t>
      </w:r>
      <w:r w:rsidR="00150296">
        <w:rPr>
          <w:rFonts w:ascii="Arial" w:hAnsi="Arial" w:cs="Arial"/>
          <w:iCs/>
        </w:rPr>
        <w:t xml:space="preserve">there is no requirement for </w:t>
      </w:r>
      <w:r w:rsidR="000766BD">
        <w:rPr>
          <w:rFonts w:ascii="Arial" w:hAnsi="Arial" w:cs="Arial"/>
          <w:iCs/>
        </w:rPr>
        <w:t>re-signing</w:t>
      </w:r>
      <w:r w:rsidR="00150296">
        <w:rPr>
          <w:rFonts w:ascii="Arial" w:hAnsi="Arial" w:cs="Arial"/>
          <w:iCs/>
        </w:rPr>
        <w:t xml:space="preserve">. </w:t>
      </w:r>
    </w:p>
    <w:p w:rsidR="00AD3454" w:rsidRDefault="00AD3454" w:rsidP="00150296">
      <w:pPr>
        <w:spacing w:after="0"/>
        <w:jc w:val="both"/>
        <w:rPr>
          <w:rFonts w:ascii="Arial" w:hAnsi="Arial" w:cs="Arial"/>
          <w:iCs/>
        </w:rPr>
      </w:pPr>
    </w:p>
    <w:p w:rsidR="00AD3454" w:rsidRPr="00AD3454" w:rsidRDefault="00AD3454" w:rsidP="00AD3454">
      <w:pPr>
        <w:spacing w:after="0"/>
        <w:jc w:val="both"/>
        <w:rPr>
          <w:rFonts w:ascii="Arial" w:hAnsi="Arial" w:cs="Arial"/>
          <w:color w:val="026694"/>
          <w:sz w:val="34"/>
          <w:szCs w:val="34"/>
        </w:rPr>
      </w:pPr>
      <w:r w:rsidRPr="00AD3454">
        <w:rPr>
          <w:rFonts w:ascii="Arial" w:hAnsi="Arial" w:cs="Arial"/>
          <w:color w:val="026694"/>
          <w:sz w:val="34"/>
          <w:szCs w:val="34"/>
        </w:rPr>
        <w:lastRenderedPageBreak/>
        <w:t>Operation of the NSHA</w:t>
      </w:r>
    </w:p>
    <w:p w:rsidR="00AD3454" w:rsidRDefault="00AD3454" w:rsidP="00AD3454">
      <w:pPr>
        <w:spacing w:after="0"/>
        <w:jc w:val="both"/>
        <w:rPr>
          <w:rFonts w:ascii="Arial" w:hAnsi="Arial" w:cs="Arial"/>
          <w:iCs/>
        </w:rPr>
      </w:pPr>
    </w:p>
    <w:p w:rsidR="00AD3454" w:rsidRDefault="00AD3454" w:rsidP="00AD3454">
      <w:pPr>
        <w:spacing w:after="0"/>
        <w:jc w:val="both"/>
        <w:rPr>
          <w:rFonts w:ascii="Arial" w:hAnsi="Arial" w:cs="Arial"/>
          <w:iCs/>
        </w:rPr>
      </w:pPr>
      <w:r>
        <w:rPr>
          <w:rFonts w:ascii="Arial" w:hAnsi="Arial" w:cs="Arial"/>
          <w:iCs/>
        </w:rPr>
        <w:t>NSHA signatories now have a clear framework</w:t>
      </w:r>
      <w:r w:rsidRPr="008E1D9D">
        <w:rPr>
          <w:rFonts w:ascii="Arial" w:hAnsi="Arial" w:cs="Arial"/>
          <w:iCs/>
        </w:rPr>
        <w:t xml:space="preserve"> for when and how Aboriginal heritage surveys will be conducted across the S</w:t>
      </w:r>
      <w:r>
        <w:rPr>
          <w:rFonts w:ascii="Arial" w:hAnsi="Arial" w:cs="Arial"/>
          <w:iCs/>
        </w:rPr>
        <w:t>ettlement area, assisting them in compliance</w:t>
      </w:r>
      <w:r w:rsidRPr="008E1D9D">
        <w:rPr>
          <w:rFonts w:ascii="Arial" w:hAnsi="Arial" w:cs="Arial"/>
          <w:iCs/>
        </w:rPr>
        <w:t xml:space="preserve"> with the </w:t>
      </w:r>
      <w:r w:rsidRPr="008E1D9D">
        <w:rPr>
          <w:rFonts w:ascii="Arial" w:hAnsi="Arial" w:cs="Arial"/>
          <w:i/>
          <w:iCs/>
        </w:rPr>
        <w:t>Aboriginal Heritage Act 1972</w:t>
      </w:r>
      <w:r w:rsidRPr="008E1D9D">
        <w:rPr>
          <w:rFonts w:ascii="Arial" w:hAnsi="Arial" w:cs="Arial"/>
          <w:iCs/>
        </w:rPr>
        <w:t xml:space="preserve">.  </w:t>
      </w:r>
    </w:p>
    <w:p w:rsidR="00AD3454" w:rsidRDefault="00AD3454" w:rsidP="00AD3454">
      <w:pPr>
        <w:spacing w:after="0"/>
        <w:jc w:val="both"/>
        <w:rPr>
          <w:rFonts w:ascii="Arial" w:hAnsi="Arial" w:cs="Arial"/>
          <w:iCs/>
        </w:rPr>
      </w:pPr>
    </w:p>
    <w:p w:rsidR="00AD3454" w:rsidRDefault="00AD3454" w:rsidP="00AD3454">
      <w:pPr>
        <w:spacing w:after="0"/>
        <w:jc w:val="both"/>
        <w:rPr>
          <w:rFonts w:ascii="Arial" w:hAnsi="Arial" w:cs="Arial"/>
          <w:iCs/>
        </w:rPr>
      </w:pPr>
      <w:r>
        <w:rPr>
          <w:rFonts w:ascii="Arial" w:hAnsi="Arial" w:cs="Arial"/>
          <w:iCs/>
        </w:rPr>
        <w:t xml:space="preserve">The </w:t>
      </w:r>
      <w:r w:rsidR="00086191" w:rsidRPr="007416E7">
        <w:rPr>
          <w:rFonts w:ascii="Arial" w:hAnsi="Arial" w:cs="Arial"/>
          <w:iCs/>
        </w:rPr>
        <w:t xml:space="preserve">Aboriginal Heritage </w:t>
      </w:r>
      <w:r w:rsidRPr="007416E7">
        <w:rPr>
          <w:rFonts w:ascii="Arial" w:hAnsi="Arial" w:cs="Arial"/>
          <w:iCs/>
        </w:rPr>
        <w:t>Due Diligence Guidelines</w:t>
      </w:r>
      <w:r w:rsidRPr="00C5466D">
        <w:rPr>
          <w:rFonts w:ascii="Arial" w:hAnsi="Arial" w:cs="Arial"/>
          <w:iCs/>
        </w:rPr>
        <w:t xml:space="preserve"> </w:t>
      </w:r>
      <w:r>
        <w:rPr>
          <w:rFonts w:ascii="Arial" w:hAnsi="Arial" w:cs="Arial"/>
          <w:iCs/>
        </w:rPr>
        <w:t xml:space="preserve">are assisting agencies in determining when their activities are at risk of impacting Noongar heritage, and they </w:t>
      </w:r>
      <w:r w:rsidR="008154F8">
        <w:rPr>
          <w:rFonts w:ascii="Arial" w:hAnsi="Arial" w:cs="Arial"/>
          <w:iCs/>
        </w:rPr>
        <w:t xml:space="preserve">may </w:t>
      </w:r>
      <w:r w:rsidR="005D4964">
        <w:rPr>
          <w:rFonts w:ascii="Arial" w:hAnsi="Arial" w:cs="Arial"/>
          <w:iCs/>
        </w:rPr>
        <w:t>need to provide a</w:t>
      </w:r>
      <w:r>
        <w:rPr>
          <w:rFonts w:ascii="Arial" w:hAnsi="Arial" w:cs="Arial"/>
          <w:iCs/>
        </w:rPr>
        <w:t xml:space="preserve"> </w:t>
      </w:r>
      <w:r w:rsidR="007416E7">
        <w:rPr>
          <w:rFonts w:ascii="Arial" w:hAnsi="Arial" w:cs="Arial"/>
          <w:iCs/>
        </w:rPr>
        <w:t xml:space="preserve">NSHA </w:t>
      </w:r>
      <w:r w:rsidR="005D4964">
        <w:rPr>
          <w:rFonts w:ascii="Arial" w:hAnsi="Arial" w:cs="Arial"/>
          <w:iCs/>
        </w:rPr>
        <w:t>‘</w:t>
      </w:r>
      <w:r>
        <w:rPr>
          <w:rFonts w:ascii="Arial" w:hAnsi="Arial" w:cs="Arial"/>
          <w:iCs/>
        </w:rPr>
        <w:t>Activity Notice</w:t>
      </w:r>
      <w:r w:rsidR="005D4964">
        <w:rPr>
          <w:rFonts w:ascii="Arial" w:hAnsi="Arial" w:cs="Arial"/>
          <w:iCs/>
        </w:rPr>
        <w:t>’</w:t>
      </w:r>
      <w:r>
        <w:rPr>
          <w:rFonts w:ascii="Arial" w:hAnsi="Arial" w:cs="Arial"/>
          <w:iCs/>
        </w:rPr>
        <w:t xml:space="preserve"> to SWALSC.</w:t>
      </w:r>
      <w:r w:rsidR="00B922C1">
        <w:rPr>
          <w:rFonts w:ascii="Arial" w:hAnsi="Arial" w:cs="Arial"/>
          <w:iCs/>
        </w:rPr>
        <w:t xml:space="preserve">  </w:t>
      </w:r>
      <w:r w:rsidR="007416E7">
        <w:rPr>
          <w:rFonts w:ascii="Arial" w:hAnsi="Arial" w:cs="Arial"/>
          <w:iCs/>
        </w:rPr>
        <w:t xml:space="preserve">Upon provision of an Activity Notice, </w:t>
      </w:r>
      <w:r>
        <w:rPr>
          <w:rFonts w:ascii="Arial" w:hAnsi="Arial" w:cs="Arial"/>
          <w:iCs/>
        </w:rPr>
        <w:t xml:space="preserve">SWALSC </w:t>
      </w:r>
      <w:r w:rsidR="00B57F60">
        <w:rPr>
          <w:rFonts w:ascii="Arial" w:hAnsi="Arial" w:cs="Arial"/>
          <w:iCs/>
        </w:rPr>
        <w:t xml:space="preserve">then carries </w:t>
      </w:r>
      <w:r>
        <w:rPr>
          <w:rFonts w:ascii="Arial" w:hAnsi="Arial" w:cs="Arial"/>
          <w:iCs/>
        </w:rPr>
        <w:t xml:space="preserve">out a process of research and consultation to determine whether a survey is required, and </w:t>
      </w:r>
      <w:r w:rsidR="00E96059">
        <w:rPr>
          <w:rFonts w:ascii="Arial" w:hAnsi="Arial" w:cs="Arial"/>
          <w:iCs/>
        </w:rPr>
        <w:t xml:space="preserve">identifies </w:t>
      </w:r>
      <w:r>
        <w:rPr>
          <w:rFonts w:ascii="Arial" w:hAnsi="Arial" w:cs="Arial"/>
          <w:iCs/>
        </w:rPr>
        <w:t xml:space="preserve">the </w:t>
      </w:r>
      <w:r w:rsidR="00E96059">
        <w:rPr>
          <w:rFonts w:ascii="Arial" w:hAnsi="Arial" w:cs="Arial"/>
          <w:iCs/>
        </w:rPr>
        <w:t xml:space="preserve">relevant </w:t>
      </w:r>
      <w:r>
        <w:rPr>
          <w:rFonts w:ascii="Arial" w:hAnsi="Arial" w:cs="Arial"/>
          <w:iCs/>
        </w:rPr>
        <w:t xml:space="preserve">Aboriginal consultants </w:t>
      </w:r>
      <w:r w:rsidR="00B57F60">
        <w:rPr>
          <w:rFonts w:ascii="Arial" w:hAnsi="Arial" w:cs="Arial"/>
          <w:iCs/>
        </w:rPr>
        <w:t>to assist</w:t>
      </w:r>
      <w:r w:rsidR="00B922C1">
        <w:rPr>
          <w:rFonts w:ascii="Arial" w:hAnsi="Arial" w:cs="Arial"/>
          <w:iCs/>
        </w:rPr>
        <w:t xml:space="preserve"> the survey.  </w:t>
      </w:r>
    </w:p>
    <w:p w:rsidR="00AD3454" w:rsidRDefault="00AD3454" w:rsidP="00AD3454">
      <w:pPr>
        <w:spacing w:after="0"/>
        <w:jc w:val="both"/>
        <w:rPr>
          <w:rFonts w:ascii="Arial" w:hAnsi="Arial" w:cs="Arial"/>
          <w:iCs/>
        </w:rPr>
      </w:pPr>
    </w:p>
    <w:p w:rsidR="00AD3454" w:rsidRDefault="00AD3454" w:rsidP="00AD3454">
      <w:pPr>
        <w:spacing w:after="0"/>
        <w:jc w:val="both"/>
        <w:rPr>
          <w:rFonts w:ascii="Arial" w:hAnsi="Arial" w:cs="Arial"/>
          <w:iCs/>
        </w:rPr>
      </w:pPr>
      <w:r>
        <w:rPr>
          <w:rFonts w:ascii="Arial" w:hAnsi="Arial" w:cs="Arial"/>
          <w:iCs/>
        </w:rPr>
        <w:t>Following heritage surveys conducted under the NSHA,</w:t>
      </w:r>
      <w:r w:rsidRPr="008E1D9D">
        <w:rPr>
          <w:rFonts w:ascii="Arial" w:hAnsi="Arial" w:cs="Arial"/>
          <w:iCs/>
        </w:rPr>
        <w:t xml:space="preserve"> </w:t>
      </w:r>
      <w:r>
        <w:rPr>
          <w:rFonts w:ascii="Arial" w:hAnsi="Arial" w:cs="Arial"/>
          <w:iCs/>
        </w:rPr>
        <w:t>Survey Reports and Aboriginal Heritage Information Submission Forms</w:t>
      </w:r>
      <w:r w:rsidR="008154F8">
        <w:rPr>
          <w:rFonts w:ascii="Arial" w:hAnsi="Arial" w:cs="Arial"/>
          <w:iCs/>
        </w:rPr>
        <w:t xml:space="preserve"> are required to be submitted to the Department of Aboriginal Affairs (DAA).</w:t>
      </w:r>
      <w:r w:rsidR="00B922C1">
        <w:rPr>
          <w:rFonts w:ascii="Arial" w:hAnsi="Arial" w:cs="Arial"/>
          <w:iCs/>
        </w:rPr>
        <w:t xml:space="preserve">  </w:t>
      </w:r>
      <w:r>
        <w:rPr>
          <w:rFonts w:ascii="Arial" w:hAnsi="Arial" w:cs="Arial"/>
          <w:iCs/>
        </w:rPr>
        <w:t xml:space="preserve">Provision of this information will build the database of heritage information in the South West, maximising the protection of Aboriginal heritage and assisting new land users in determining whether their activities are likely to impact sites.  </w:t>
      </w:r>
    </w:p>
    <w:p w:rsidR="001606D4" w:rsidRDefault="001606D4" w:rsidP="00AD3454">
      <w:pPr>
        <w:spacing w:after="0"/>
        <w:jc w:val="both"/>
        <w:rPr>
          <w:rFonts w:ascii="Arial" w:hAnsi="Arial" w:cs="Arial"/>
          <w:iCs/>
        </w:rPr>
      </w:pPr>
    </w:p>
    <w:p w:rsidR="001606D4" w:rsidRDefault="001606D4" w:rsidP="00AD3454">
      <w:pPr>
        <w:spacing w:after="0"/>
        <w:jc w:val="both"/>
        <w:rPr>
          <w:rFonts w:ascii="Arial" w:eastAsia="Times New Roman" w:hAnsi="Arial" w:cs="Arial"/>
          <w:color w:val="000000"/>
          <w:sz w:val="18"/>
          <w:szCs w:val="18"/>
          <w:lang w:val="en" w:eastAsia="en-AU"/>
        </w:rPr>
      </w:pPr>
      <w:r>
        <w:rPr>
          <w:rFonts w:ascii="Arial" w:hAnsi="Arial" w:cs="Arial"/>
          <w:iCs/>
        </w:rPr>
        <w:t>NSHA Working Group</w:t>
      </w:r>
      <w:r w:rsidR="00574FE6">
        <w:rPr>
          <w:rFonts w:ascii="Arial" w:hAnsi="Arial" w:cs="Arial"/>
          <w:iCs/>
        </w:rPr>
        <w:t xml:space="preserve"> </w:t>
      </w:r>
      <w:r w:rsidR="00D77F96">
        <w:rPr>
          <w:rFonts w:ascii="Arial" w:hAnsi="Arial" w:cs="Arial"/>
          <w:iCs/>
        </w:rPr>
        <w:t xml:space="preserve">meetings </w:t>
      </w:r>
      <w:r w:rsidR="00F97400">
        <w:rPr>
          <w:rFonts w:ascii="Arial" w:hAnsi="Arial" w:cs="Arial"/>
          <w:iCs/>
        </w:rPr>
        <w:t>convened by DAA</w:t>
      </w:r>
      <w:r w:rsidR="00574FE6">
        <w:rPr>
          <w:rFonts w:ascii="Arial" w:hAnsi="Arial" w:cs="Arial"/>
          <w:iCs/>
        </w:rPr>
        <w:t xml:space="preserve"> </w:t>
      </w:r>
      <w:r w:rsidR="00F97400">
        <w:rPr>
          <w:rFonts w:ascii="Arial" w:hAnsi="Arial" w:cs="Arial"/>
          <w:iCs/>
        </w:rPr>
        <w:t xml:space="preserve">and </w:t>
      </w:r>
      <w:r w:rsidR="00772CF6">
        <w:rPr>
          <w:rFonts w:ascii="Arial" w:hAnsi="Arial" w:cs="Arial"/>
          <w:iCs/>
        </w:rPr>
        <w:t xml:space="preserve">attended by </w:t>
      </w:r>
      <w:r>
        <w:rPr>
          <w:rFonts w:ascii="Arial" w:hAnsi="Arial" w:cs="Arial"/>
          <w:iCs/>
        </w:rPr>
        <w:t>SWALSC representatives</w:t>
      </w:r>
      <w:r w:rsidR="00574FE6">
        <w:rPr>
          <w:rFonts w:ascii="Arial" w:hAnsi="Arial" w:cs="Arial"/>
          <w:iCs/>
        </w:rPr>
        <w:t xml:space="preserve"> and 12 Government agencies,</w:t>
      </w:r>
      <w:r>
        <w:rPr>
          <w:rFonts w:ascii="Arial" w:hAnsi="Arial" w:cs="Arial"/>
          <w:iCs/>
        </w:rPr>
        <w:t xml:space="preserve"> </w:t>
      </w:r>
      <w:r w:rsidR="00D77F96">
        <w:rPr>
          <w:rFonts w:ascii="Arial" w:hAnsi="Arial" w:cs="Arial"/>
          <w:iCs/>
        </w:rPr>
        <w:t>provide</w:t>
      </w:r>
      <w:r w:rsidR="00772CF6">
        <w:rPr>
          <w:rFonts w:ascii="Arial" w:hAnsi="Arial" w:cs="Arial"/>
          <w:iCs/>
        </w:rPr>
        <w:t xml:space="preserve"> a </w:t>
      </w:r>
      <w:r>
        <w:rPr>
          <w:rFonts w:ascii="Arial" w:hAnsi="Arial" w:cs="Arial"/>
          <w:iCs/>
        </w:rPr>
        <w:t xml:space="preserve">quarterly </w:t>
      </w:r>
      <w:r w:rsidR="00772CF6">
        <w:rPr>
          <w:rFonts w:ascii="Arial" w:hAnsi="Arial" w:cs="Arial"/>
          <w:iCs/>
        </w:rPr>
        <w:t xml:space="preserve">forum </w:t>
      </w:r>
      <w:r>
        <w:rPr>
          <w:rFonts w:ascii="Arial" w:hAnsi="Arial" w:cs="Arial"/>
          <w:iCs/>
        </w:rPr>
        <w:t xml:space="preserve">to review progress </w:t>
      </w:r>
      <w:r w:rsidR="00772CF6">
        <w:rPr>
          <w:rFonts w:ascii="Arial" w:hAnsi="Arial" w:cs="Arial"/>
          <w:iCs/>
        </w:rPr>
        <w:t xml:space="preserve">and address issues arising in relation to the </w:t>
      </w:r>
      <w:r>
        <w:rPr>
          <w:rFonts w:ascii="Arial" w:hAnsi="Arial" w:cs="Arial"/>
          <w:iCs/>
        </w:rPr>
        <w:t>sign-up and operation of the NSHAs</w:t>
      </w:r>
      <w:r w:rsidR="00772CF6">
        <w:rPr>
          <w:rFonts w:ascii="Arial" w:hAnsi="Arial" w:cs="Arial"/>
          <w:iCs/>
        </w:rPr>
        <w:t xml:space="preserve">. </w:t>
      </w:r>
      <w:r>
        <w:rPr>
          <w:rFonts w:ascii="Arial" w:hAnsi="Arial" w:cs="Arial"/>
          <w:iCs/>
        </w:rPr>
        <w:t xml:space="preserve"> </w:t>
      </w:r>
    </w:p>
    <w:p w:rsidR="00D04E67" w:rsidRDefault="00D04E67" w:rsidP="00D04E67">
      <w:pPr>
        <w:spacing w:after="0"/>
        <w:jc w:val="both"/>
        <w:rPr>
          <w:rFonts w:ascii="Arial" w:hAnsi="Arial" w:cs="Arial"/>
        </w:rPr>
      </w:pPr>
    </w:p>
    <w:p w:rsidR="00D04E67" w:rsidRDefault="00D04E67" w:rsidP="00D04E67">
      <w:pPr>
        <w:spacing w:after="0" w:line="240" w:lineRule="auto"/>
        <w:jc w:val="both"/>
        <w:rPr>
          <w:rFonts w:ascii="Arial" w:hAnsi="Arial" w:cs="Arial"/>
          <w:color w:val="026694"/>
          <w:sz w:val="34"/>
          <w:szCs w:val="34"/>
        </w:rPr>
      </w:pPr>
      <w:r w:rsidRPr="00446BC9">
        <w:rPr>
          <w:rFonts w:ascii="Arial" w:hAnsi="Arial" w:cs="Arial"/>
          <w:color w:val="026694"/>
          <w:sz w:val="34"/>
          <w:szCs w:val="34"/>
        </w:rPr>
        <w:t>NSHA Template</w:t>
      </w:r>
      <w:r w:rsidR="007749DA">
        <w:rPr>
          <w:rFonts w:ascii="Arial" w:hAnsi="Arial" w:cs="Arial"/>
          <w:color w:val="026694"/>
          <w:sz w:val="34"/>
          <w:szCs w:val="34"/>
        </w:rPr>
        <w:t>s and Information</w:t>
      </w:r>
    </w:p>
    <w:p w:rsidR="00E96059" w:rsidRDefault="00E96059" w:rsidP="00D04E67">
      <w:pPr>
        <w:spacing w:after="0" w:line="240" w:lineRule="auto"/>
        <w:jc w:val="both"/>
        <w:rPr>
          <w:rFonts w:ascii="Arial" w:hAnsi="Arial" w:cs="Arial"/>
          <w:color w:val="026694"/>
          <w:sz w:val="34"/>
          <w:szCs w:val="34"/>
        </w:rPr>
      </w:pPr>
    </w:p>
    <w:p w:rsidR="00D04E67" w:rsidRDefault="000766BD" w:rsidP="00AD3454">
      <w:pPr>
        <w:spacing w:after="0"/>
        <w:jc w:val="both"/>
        <w:rPr>
          <w:rFonts w:ascii="Arial" w:hAnsi="Arial" w:cs="Arial"/>
          <w:iCs/>
        </w:rPr>
      </w:pPr>
      <w:r w:rsidRPr="00AD3454">
        <w:rPr>
          <w:rFonts w:ascii="Arial" w:hAnsi="Arial" w:cs="Arial"/>
          <w:iCs/>
        </w:rPr>
        <w:t>There are six NSHA templates, one for each ILUA area, which can be found on the DPC website together with</w:t>
      </w:r>
      <w:r w:rsidR="00086191">
        <w:rPr>
          <w:rFonts w:ascii="Arial" w:hAnsi="Arial" w:cs="Arial"/>
          <w:iCs/>
        </w:rPr>
        <w:t xml:space="preserve"> the </w:t>
      </w:r>
      <w:r w:rsidR="00086191" w:rsidRPr="007416E7">
        <w:rPr>
          <w:rFonts w:ascii="Arial" w:hAnsi="Arial" w:cs="Arial"/>
          <w:iCs/>
        </w:rPr>
        <w:t>Aboriginal Heritage Due Diligence Guidelines</w:t>
      </w:r>
      <w:r w:rsidR="00086191">
        <w:rPr>
          <w:rFonts w:ascii="Arial" w:hAnsi="Arial" w:cs="Arial"/>
          <w:iCs/>
        </w:rPr>
        <w:t>,</w:t>
      </w:r>
      <w:r w:rsidRPr="00AD3454">
        <w:rPr>
          <w:rFonts w:ascii="Arial" w:hAnsi="Arial" w:cs="Arial"/>
          <w:iCs/>
        </w:rPr>
        <w:t xml:space="preserve"> </w:t>
      </w:r>
      <w:r w:rsidR="00086191">
        <w:rPr>
          <w:rFonts w:ascii="Arial" w:hAnsi="Arial" w:cs="Arial"/>
          <w:iCs/>
        </w:rPr>
        <w:t xml:space="preserve">and </w:t>
      </w:r>
      <w:r w:rsidR="00E96059">
        <w:rPr>
          <w:rFonts w:ascii="Arial" w:hAnsi="Arial" w:cs="Arial"/>
          <w:iCs/>
        </w:rPr>
        <w:t xml:space="preserve">ILUA </w:t>
      </w:r>
      <w:r w:rsidRPr="00AD3454">
        <w:rPr>
          <w:rFonts w:ascii="Arial" w:hAnsi="Arial" w:cs="Arial"/>
          <w:iCs/>
        </w:rPr>
        <w:t xml:space="preserve">maps and technical descriptions for inclusion in NSHAs as required.  A number of templates have also been developed in relation to key NSHA steps, and templates may be amended from time to time, so be sure to visit the </w:t>
      </w:r>
      <w:hyperlink r:id="rId14" w:history="1">
        <w:r w:rsidRPr="00AD3454">
          <w:rPr>
            <w:rFonts w:ascii="Arial" w:hAnsi="Arial" w:cs="Arial"/>
            <w:iCs/>
          </w:rPr>
          <w:t>DPC website</w:t>
        </w:r>
      </w:hyperlink>
      <w:r w:rsidRPr="00AD3454">
        <w:rPr>
          <w:rFonts w:ascii="Arial" w:hAnsi="Arial" w:cs="Arial"/>
          <w:iCs/>
        </w:rPr>
        <w:t xml:space="preserve"> for the latest information before proceeding.  </w:t>
      </w:r>
    </w:p>
    <w:p w:rsidR="00AD3454" w:rsidRPr="00AD3454" w:rsidRDefault="00AD3454" w:rsidP="00AD3454">
      <w:pPr>
        <w:spacing w:after="0"/>
        <w:jc w:val="both"/>
        <w:rPr>
          <w:rFonts w:ascii="Arial" w:hAnsi="Arial" w:cs="Arial"/>
          <w:iCs/>
        </w:rPr>
      </w:pPr>
    </w:p>
    <w:p w:rsidR="001D3131" w:rsidRPr="00B26E6C" w:rsidRDefault="00F97400" w:rsidP="00B26E6C">
      <w:pPr>
        <w:spacing w:after="0"/>
        <w:jc w:val="both"/>
      </w:pPr>
      <w:r>
        <w:rPr>
          <w:rFonts w:ascii="Arial" w:eastAsia="Times New Roman" w:hAnsi="Arial" w:cs="Arial"/>
          <w:color w:val="000000"/>
          <w:lang w:val="en" w:eastAsia="en-AU"/>
        </w:rPr>
        <w:t xml:space="preserve">To learn more about the NSHA, </w:t>
      </w:r>
      <w:r w:rsidR="00CB62C1">
        <w:rPr>
          <w:rFonts w:ascii="Arial" w:eastAsia="Times New Roman" w:hAnsi="Arial" w:cs="Arial"/>
          <w:color w:val="000000"/>
          <w:lang w:val="en" w:eastAsia="en-AU"/>
        </w:rPr>
        <w:t xml:space="preserve">contact the DAA </w:t>
      </w:r>
      <w:hyperlink r:id="rId15" w:history="1">
        <w:r w:rsidR="00B26E6C" w:rsidRPr="005C5F22">
          <w:rPr>
            <w:rStyle w:val="Hyperlink"/>
            <w:rFonts w:ascii="Arial" w:hAnsi="Arial" w:cs="Arial"/>
          </w:rPr>
          <w:t>South West Settlement (Heritage) Director, Jeremy Elliott</w:t>
        </w:r>
      </w:hyperlink>
      <w:r w:rsidR="00B26E6C" w:rsidRPr="005C5F22">
        <w:rPr>
          <w:rFonts w:eastAsia="Times New Roman"/>
          <w:color w:val="000000"/>
          <w:lang w:val="en" w:eastAsia="en-AU"/>
        </w:rPr>
        <w:t xml:space="preserve">, </w:t>
      </w:r>
      <w:r w:rsidR="00D04E67" w:rsidRPr="00C91A18">
        <w:rPr>
          <w:rFonts w:ascii="Arial" w:eastAsia="Times New Roman" w:hAnsi="Arial" w:cs="Arial"/>
          <w:color w:val="000000"/>
          <w:lang w:val="en" w:eastAsia="en-AU"/>
        </w:rPr>
        <w:t xml:space="preserve">or visit the </w:t>
      </w:r>
      <w:hyperlink r:id="rId16" w:history="1">
        <w:r w:rsidR="00D04E67" w:rsidRPr="00446BC9">
          <w:rPr>
            <w:rStyle w:val="Hyperlink"/>
            <w:rFonts w:ascii="Arial" w:eastAsia="Times New Roman" w:hAnsi="Arial" w:cs="Arial"/>
            <w:lang w:val="en" w:eastAsia="en-AU"/>
          </w:rPr>
          <w:t>DPC website</w:t>
        </w:r>
      </w:hyperlink>
      <w:r w:rsidR="00D04E67">
        <w:rPr>
          <w:rFonts w:ascii="Arial" w:eastAsia="Times New Roman" w:hAnsi="Arial" w:cs="Arial"/>
          <w:color w:val="000000"/>
          <w:lang w:val="en" w:eastAsia="en-AU"/>
        </w:rPr>
        <w:t>.</w:t>
      </w:r>
      <w:r w:rsidR="00D04E67" w:rsidRPr="00C91A18">
        <w:rPr>
          <w:rFonts w:ascii="Arial" w:eastAsia="Times New Roman" w:hAnsi="Arial" w:cs="Arial"/>
          <w:color w:val="000000"/>
          <w:lang w:val="en" w:eastAsia="en-AU"/>
        </w:rPr>
        <w:t xml:space="preserve"> </w:t>
      </w:r>
      <w:r w:rsidR="001606D4">
        <w:rPr>
          <w:rFonts w:ascii="Arial" w:eastAsia="Times New Roman" w:hAnsi="Arial" w:cs="Arial"/>
          <w:color w:val="000000"/>
          <w:lang w:val="en" w:eastAsia="en-AU"/>
        </w:rPr>
        <w:t xml:space="preserve"> </w:t>
      </w:r>
      <w:r w:rsidR="001606D4" w:rsidRPr="001B1D34">
        <w:rPr>
          <w:rFonts w:ascii="Arial" w:eastAsia="Times New Roman" w:hAnsi="Arial" w:cs="Arial"/>
          <w:color w:val="000000"/>
          <w:lang w:val="en" w:eastAsia="en-AU"/>
        </w:rPr>
        <w:t xml:space="preserve">Peter Nettleton, </w:t>
      </w:r>
      <w:r w:rsidRPr="001B1D34">
        <w:rPr>
          <w:rFonts w:ascii="Arial" w:eastAsia="Times New Roman" w:hAnsi="Arial" w:cs="Arial"/>
          <w:color w:val="000000"/>
          <w:lang w:val="en" w:eastAsia="en-AU"/>
        </w:rPr>
        <w:t>SWALSC Senior Legal Officer, the</w:t>
      </w:r>
      <w:r w:rsidR="001606D4" w:rsidRPr="001B1D34">
        <w:rPr>
          <w:rFonts w:ascii="Arial" w:eastAsia="Times New Roman" w:hAnsi="Arial" w:cs="Arial"/>
          <w:color w:val="000000"/>
          <w:lang w:val="en" w:eastAsia="en-AU"/>
        </w:rPr>
        <w:t xml:space="preserve"> primary NSHA contact</w:t>
      </w:r>
      <w:r w:rsidRPr="001B1D34">
        <w:rPr>
          <w:rFonts w:ascii="Arial" w:eastAsia="Times New Roman" w:hAnsi="Arial" w:cs="Arial"/>
          <w:color w:val="000000"/>
          <w:lang w:val="en" w:eastAsia="en-AU"/>
        </w:rPr>
        <w:t xml:space="preserve"> at SWALSC, can also be contacted at </w:t>
      </w:r>
      <w:hyperlink r:id="rId17" w:history="1">
        <w:r w:rsidRPr="001B1D34">
          <w:rPr>
            <w:rStyle w:val="Hyperlink"/>
            <w:rFonts w:ascii="Arial" w:eastAsia="Times New Roman" w:hAnsi="Arial" w:cs="Arial"/>
            <w:lang w:val="en" w:eastAsia="en-AU"/>
          </w:rPr>
          <w:t>Peter.Nettleton@noongar.org.au</w:t>
        </w:r>
      </w:hyperlink>
      <w:r w:rsidRPr="001B1D34">
        <w:rPr>
          <w:rFonts w:ascii="Arial" w:eastAsia="Times New Roman" w:hAnsi="Arial" w:cs="Arial"/>
          <w:color w:val="000000"/>
          <w:lang w:val="en" w:eastAsia="en-AU"/>
        </w:rPr>
        <w:t xml:space="preserve">. </w:t>
      </w:r>
    </w:p>
    <w:p w:rsidR="00A44A59" w:rsidRDefault="00A44A59" w:rsidP="001D3131">
      <w:pPr>
        <w:spacing w:after="0"/>
        <w:jc w:val="both"/>
        <w:rPr>
          <w:rFonts w:ascii="Arial" w:hAnsi="Arial" w:cs="Arial"/>
        </w:rPr>
      </w:pPr>
    </w:p>
    <w:p w:rsidR="004618BB" w:rsidRPr="009C38A3" w:rsidRDefault="009C38A3" w:rsidP="009C38A3">
      <w:pPr>
        <w:spacing w:after="0" w:line="240" w:lineRule="auto"/>
        <w:jc w:val="center"/>
        <w:rPr>
          <w:rFonts w:ascii="ArialMT" w:hAnsi="ArialMT" w:cs="ArialMT"/>
          <w:color w:val="C75928"/>
          <w:sz w:val="48"/>
          <w:szCs w:val="48"/>
        </w:rPr>
      </w:pPr>
      <w:r w:rsidRPr="009C38A3">
        <w:rPr>
          <w:rFonts w:ascii="ArialMT" w:hAnsi="ArialMT" w:cs="ArialMT"/>
          <w:color w:val="C75928"/>
          <w:sz w:val="48"/>
          <w:szCs w:val="48"/>
        </w:rPr>
        <w:t xml:space="preserve">Noongar Land Base Strategy </w:t>
      </w:r>
    </w:p>
    <w:p w:rsidR="004618BB" w:rsidRPr="00A91A3C" w:rsidRDefault="004618BB" w:rsidP="00A91A3C">
      <w:pPr>
        <w:spacing w:after="0" w:line="240" w:lineRule="auto"/>
        <w:jc w:val="both"/>
        <w:rPr>
          <w:rFonts w:ascii="Arial" w:eastAsia="Calibri" w:hAnsi="Arial" w:cs="Arial"/>
          <w:color w:val="000000"/>
        </w:rPr>
      </w:pPr>
    </w:p>
    <w:p w:rsidR="007B2E20" w:rsidRPr="003A67B0" w:rsidRDefault="007B2E20" w:rsidP="003A67B0">
      <w:pPr>
        <w:spacing w:after="0"/>
        <w:jc w:val="both"/>
        <w:rPr>
          <w:rFonts w:ascii="Arial" w:hAnsi="Arial" w:cs="Arial"/>
          <w:iCs/>
        </w:rPr>
      </w:pPr>
      <w:r w:rsidRPr="003A67B0">
        <w:rPr>
          <w:rFonts w:ascii="Arial" w:hAnsi="Arial" w:cs="Arial"/>
          <w:iCs/>
        </w:rPr>
        <w:t>The Department of Lands (DoL) is continuing work towards the creation of a Noongar Land Estate through the transfer</w:t>
      </w:r>
      <w:r w:rsidR="00932117" w:rsidRPr="003A67B0">
        <w:rPr>
          <w:rFonts w:ascii="Arial" w:hAnsi="Arial" w:cs="Arial"/>
          <w:iCs/>
        </w:rPr>
        <w:t xml:space="preserve"> </w:t>
      </w:r>
      <w:r w:rsidRPr="003A67B0">
        <w:rPr>
          <w:rFonts w:ascii="Arial" w:hAnsi="Arial" w:cs="Arial"/>
          <w:iCs/>
        </w:rPr>
        <w:t>of a maximum of 320,000 hectares of Crown land into the Noongar Boodja Trust over five years</w:t>
      </w:r>
      <w:r w:rsidR="00932117" w:rsidRPr="003A67B0">
        <w:rPr>
          <w:rFonts w:ascii="Arial" w:hAnsi="Arial" w:cs="Arial"/>
          <w:iCs/>
        </w:rPr>
        <w:t xml:space="preserve"> following Settlement</w:t>
      </w:r>
      <w:r w:rsidRPr="003A67B0">
        <w:rPr>
          <w:rFonts w:ascii="Arial" w:hAnsi="Arial" w:cs="Arial"/>
          <w:iCs/>
        </w:rPr>
        <w:t xml:space="preserve"> (a maximum of 300,000 hectares as reserve land and a maximum of 20,000 hectares as freehold title). The process</w:t>
      </w:r>
      <w:r w:rsidR="00E679B6" w:rsidRPr="003A67B0">
        <w:rPr>
          <w:rFonts w:ascii="Arial" w:hAnsi="Arial" w:cs="Arial"/>
          <w:iCs/>
        </w:rPr>
        <w:t xml:space="preserve"> for</w:t>
      </w:r>
      <w:r w:rsidR="00932117" w:rsidRPr="003A67B0">
        <w:rPr>
          <w:rFonts w:ascii="Arial" w:hAnsi="Arial" w:cs="Arial"/>
          <w:iCs/>
        </w:rPr>
        <w:t xml:space="preserve"> creation of the Noongar Land E</w:t>
      </w:r>
      <w:r w:rsidRPr="003A67B0">
        <w:rPr>
          <w:rFonts w:ascii="Arial" w:hAnsi="Arial" w:cs="Arial"/>
          <w:iCs/>
        </w:rPr>
        <w:t xml:space="preserve">state is prescribed </w:t>
      </w:r>
      <w:r w:rsidR="00932117" w:rsidRPr="003A67B0">
        <w:rPr>
          <w:rFonts w:ascii="Arial" w:hAnsi="Arial" w:cs="Arial"/>
          <w:iCs/>
        </w:rPr>
        <w:t>in the ILUAs in</w:t>
      </w:r>
      <w:r w:rsidRPr="003A67B0">
        <w:rPr>
          <w:rFonts w:ascii="Arial" w:hAnsi="Arial" w:cs="Arial"/>
          <w:iCs/>
        </w:rPr>
        <w:t xml:space="preserve"> the Noongar Land Base Strategy.</w:t>
      </w:r>
    </w:p>
    <w:p w:rsidR="007B2E20" w:rsidRDefault="007B2E20" w:rsidP="007B2E20">
      <w:pPr>
        <w:spacing w:after="0" w:line="240" w:lineRule="auto"/>
        <w:jc w:val="both"/>
        <w:rPr>
          <w:rFonts w:ascii="Arial" w:hAnsi="Arial" w:cs="Arial"/>
          <w:color w:val="000000"/>
          <w:lang w:val="en"/>
        </w:rPr>
      </w:pPr>
    </w:p>
    <w:p w:rsidR="00A02109" w:rsidRDefault="007B2E20" w:rsidP="00A02109">
      <w:pPr>
        <w:spacing w:after="0"/>
        <w:jc w:val="both"/>
        <w:rPr>
          <w:rFonts w:ascii="Arial" w:hAnsi="Arial" w:cs="Arial"/>
          <w:iCs/>
        </w:rPr>
      </w:pPr>
      <w:r w:rsidRPr="00A02109">
        <w:rPr>
          <w:rFonts w:ascii="Arial" w:hAnsi="Arial" w:cs="Arial"/>
          <w:iCs/>
        </w:rPr>
        <w:t>All transfers, coordinated by the DoL, are subject to statutory clearances and consultation with</w:t>
      </w:r>
      <w:r w:rsidR="00C3412D" w:rsidRPr="00A02109">
        <w:rPr>
          <w:rFonts w:ascii="Arial" w:hAnsi="Arial" w:cs="Arial"/>
          <w:iCs/>
        </w:rPr>
        <w:t xml:space="preserve"> any affected WA Government or Local G</w:t>
      </w:r>
      <w:r w:rsidRPr="00A02109">
        <w:rPr>
          <w:rFonts w:ascii="Arial" w:hAnsi="Arial" w:cs="Arial"/>
          <w:iCs/>
        </w:rPr>
        <w:t>overnment interest.</w:t>
      </w:r>
    </w:p>
    <w:p w:rsidR="00A02109" w:rsidRDefault="00A02109" w:rsidP="00A02109">
      <w:pPr>
        <w:spacing w:after="0"/>
        <w:jc w:val="both"/>
        <w:rPr>
          <w:rFonts w:ascii="Arial" w:hAnsi="Arial" w:cs="Arial"/>
          <w:iCs/>
        </w:rPr>
      </w:pPr>
    </w:p>
    <w:p w:rsidR="007B173D" w:rsidRDefault="007B173D" w:rsidP="00A02109">
      <w:pPr>
        <w:spacing w:after="0"/>
        <w:jc w:val="both"/>
        <w:rPr>
          <w:rFonts w:ascii="Arial" w:hAnsi="Arial" w:cs="Arial"/>
          <w:iCs/>
        </w:rPr>
      </w:pPr>
      <w:r w:rsidRPr="00A02109">
        <w:rPr>
          <w:rFonts w:ascii="Arial" w:hAnsi="Arial" w:cs="Arial"/>
          <w:iCs/>
        </w:rPr>
        <w:t>Th</w:t>
      </w:r>
      <w:r w:rsidR="00932117" w:rsidRPr="00A02109">
        <w:rPr>
          <w:rFonts w:ascii="Arial" w:hAnsi="Arial" w:cs="Arial"/>
          <w:iCs/>
        </w:rPr>
        <w:t>e</w:t>
      </w:r>
      <w:r w:rsidRPr="00A02109">
        <w:rPr>
          <w:rFonts w:ascii="Arial" w:hAnsi="Arial" w:cs="Arial"/>
          <w:iCs/>
        </w:rPr>
        <w:t xml:space="preserve"> land will be drawn primarily from existing unallocated </w:t>
      </w:r>
      <w:r w:rsidR="004C1942" w:rsidRPr="00A02109">
        <w:rPr>
          <w:rFonts w:ascii="Arial" w:hAnsi="Arial" w:cs="Arial"/>
          <w:iCs/>
        </w:rPr>
        <w:t>C</w:t>
      </w:r>
      <w:r w:rsidRPr="00A02109">
        <w:rPr>
          <w:rFonts w:ascii="Arial" w:hAnsi="Arial" w:cs="Arial"/>
          <w:iCs/>
        </w:rPr>
        <w:t xml:space="preserve">rown land and unmanaged reserve, as well as Aboriginal Lands Trust properties.  None of the land will be from private land holdings.   </w:t>
      </w:r>
    </w:p>
    <w:p w:rsidR="00A02109" w:rsidRPr="00A02109" w:rsidRDefault="00A02109" w:rsidP="00A02109">
      <w:pPr>
        <w:spacing w:after="0"/>
        <w:jc w:val="both"/>
        <w:rPr>
          <w:rFonts w:ascii="Arial" w:hAnsi="Arial" w:cs="Arial"/>
          <w:iCs/>
        </w:rPr>
      </w:pPr>
    </w:p>
    <w:p w:rsidR="00864F45" w:rsidRDefault="00A5197D" w:rsidP="00A02109">
      <w:pPr>
        <w:spacing w:after="0"/>
        <w:jc w:val="both"/>
        <w:rPr>
          <w:rFonts w:ascii="Arial" w:hAnsi="Arial" w:cs="Arial"/>
          <w:iCs/>
        </w:rPr>
      </w:pPr>
      <w:r w:rsidRPr="00A02109">
        <w:rPr>
          <w:rFonts w:ascii="Arial" w:hAnsi="Arial" w:cs="Arial"/>
          <w:iCs/>
        </w:rPr>
        <w:t>T</w:t>
      </w:r>
      <w:r w:rsidR="007B173D" w:rsidRPr="00A02109">
        <w:rPr>
          <w:rFonts w:ascii="Arial" w:hAnsi="Arial" w:cs="Arial"/>
          <w:iCs/>
        </w:rPr>
        <w:t>o meet the targets</w:t>
      </w:r>
      <w:r w:rsidRPr="00A02109">
        <w:rPr>
          <w:rFonts w:ascii="Arial" w:hAnsi="Arial" w:cs="Arial"/>
          <w:iCs/>
        </w:rPr>
        <w:t xml:space="preserve"> set out</w:t>
      </w:r>
      <w:r w:rsidR="00187D22" w:rsidRPr="00A02109">
        <w:rPr>
          <w:rFonts w:ascii="Arial" w:hAnsi="Arial" w:cs="Arial"/>
          <w:iCs/>
        </w:rPr>
        <w:t xml:space="preserve"> in</w:t>
      </w:r>
      <w:r w:rsidRPr="00A02109">
        <w:rPr>
          <w:rFonts w:ascii="Arial" w:hAnsi="Arial" w:cs="Arial"/>
          <w:iCs/>
        </w:rPr>
        <w:t xml:space="preserve"> the ILUA</w:t>
      </w:r>
      <w:r w:rsidR="00932117" w:rsidRPr="00A02109">
        <w:rPr>
          <w:rFonts w:ascii="Arial" w:hAnsi="Arial" w:cs="Arial"/>
          <w:iCs/>
        </w:rPr>
        <w:t>s</w:t>
      </w:r>
      <w:r w:rsidRPr="00A02109">
        <w:rPr>
          <w:rFonts w:ascii="Arial" w:hAnsi="Arial" w:cs="Arial"/>
          <w:iCs/>
        </w:rPr>
        <w:t xml:space="preserve"> for land selection and allocation</w:t>
      </w:r>
      <w:r w:rsidR="007B173D" w:rsidRPr="00A02109">
        <w:rPr>
          <w:rFonts w:ascii="Arial" w:hAnsi="Arial" w:cs="Arial"/>
          <w:iCs/>
        </w:rPr>
        <w:t xml:space="preserve">, SWALSC and the DoL </w:t>
      </w:r>
      <w:r w:rsidR="007B2E20" w:rsidRPr="00A02109">
        <w:rPr>
          <w:rFonts w:ascii="Arial" w:hAnsi="Arial" w:cs="Arial"/>
          <w:iCs/>
        </w:rPr>
        <w:t>continue to</w:t>
      </w:r>
      <w:r w:rsidR="007B173D" w:rsidRPr="00A02109">
        <w:rPr>
          <w:rFonts w:ascii="Arial" w:hAnsi="Arial" w:cs="Arial"/>
          <w:iCs/>
        </w:rPr>
        <w:t xml:space="preserve"> identify</w:t>
      </w:r>
      <w:r w:rsidRPr="00A02109">
        <w:rPr>
          <w:rFonts w:ascii="Arial" w:hAnsi="Arial" w:cs="Arial"/>
          <w:iCs/>
        </w:rPr>
        <w:t xml:space="preserve"> and select</w:t>
      </w:r>
      <w:r w:rsidR="007B173D" w:rsidRPr="00A02109">
        <w:rPr>
          <w:rFonts w:ascii="Arial" w:hAnsi="Arial" w:cs="Arial"/>
          <w:iCs/>
        </w:rPr>
        <w:t xml:space="preserve"> land </w:t>
      </w:r>
      <w:r w:rsidRPr="00A02109">
        <w:rPr>
          <w:rFonts w:ascii="Arial" w:hAnsi="Arial" w:cs="Arial"/>
          <w:iCs/>
        </w:rPr>
        <w:t>potentia</w:t>
      </w:r>
      <w:r w:rsidR="00902AC4" w:rsidRPr="00A02109">
        <w:rPr>
          <w:rFonts w:ascii="Arial" w:hAnsi="Arial" w:cs="Arial"/>
          <w:iCs/>
        </w:rPr>
        <w:t>l</w:t>
      </w:r>
      <w:r w:rsidRPr="00A02109">
        <w:rPr>
          <w:rFonts w:ascii="Arial" w:hAnsi="Arial" w:cs="Arial"/>
          <w:iCs/>
        </w:rPr>
        <w:t>l</w:t>
      </w:r>
      <w:r w:rsidR="00902AC4" w:rsidRPr="00A02109">
        <w:rPr>
          <w:rFonts w:ascii="Arial" w:hAnsi="Arial" w:cs="Arial"/>
          <w:iCs/>
        </w:rPr>
        <w:t>y</w:t>
      </w:r>
      <w:r w:rsidRPr="00A02109">
        <w:rPr>
          <w:rFonts w:ascii="Arial" w:hAnsi="Arial" w:cs="Arial"/>
          <w:iCs/>
        </w:rPr>
        <w:t xml:space="preserve"> available </w:t>
      </w:r>
      <w:r w:rsidR="007B173D" w:rsidRPr="00A02109">
        <w:rPr>
          <w:rFonts w:ascii="Arial" w:hAnsi="Arial" w:cs="Arial"/>
          <w:iCs/>
        </w:rPr>
        <w:t>for allocation to the Trust.</w:t>
      </w:r>
      <w:r w:rsidR="00DA0387" w:rsidRPr="00A02109">
        <w:rPr>
          <w:rFonts w:ascii="Arial" w:hAnsi="Arial" w:cs="Arial"/>
          <w:iCs/>
        </w:rPr>
        <w:t xml:space="preserve"> </w:t>
      </w:r>
      <w:r w:rsidR="00864F45" w:rsidRPr="00A02109">
        <w:rPr>
          <w:rFonts w:ascii="Arial" w:hAnsi="Arial" w:cs="Arial"/>
          <w:iCs/>
        </w:rPr>
        <w:t xml:space="preserve"> </w:t>
      </w:r>
      <w:r w:rsidR="00AC2A71" w:rsidRPr="00A02109">
        <w:rPr>
          <w:rFonts w:ascii="Arial" w:hAnsi="Arial" w:cs="Arial"/>
          <w:iCs/>
        </w:rPr>
        <w:t>D</w:t>
      </w:r>
      <w:r w:rsidR="00DA0387" w:rsidRPr="00A02109">
        <w:rPr>
          <w:rFonts w:ascii="Arial" w:hAnsi="Arial" w:cs="Arial"/>
          <w:iCs/>
        </w:rPr>
        <w:t>oL is</w:t>
      </w:r>
      <w:r w:rsidR="00864F45" w:rsidRPr="00A02109">
        <w:rPr>
          <w:rFonts w:ascii="Arial" w:hAnsi="Arial" w:cs="Arial"/>
          <w:iCs/>
        </w:rPr>
        <w:t xml:space="preserve"> </w:t>
      </w:r>
      <w:r w:rsidR="00FF32C1" w:rsidRPr="00A02109">
        <w:rPr>
          <w:rFonts w:ascii="Arial" w:hAnsi="Arial" w:cs="Arial"/>
          <w:iCs/>
        </w:rPr>
        <w:t xml:space="preserve">also </w:t>
      </w:r>
      <w:r w:rsidR="00AC2A71" w:rsidRPr="00A02109">
        <w:rPr>
          <w:rFonts w:ascii="Arial" w:hAnsi="Arial" w:cs="Arial"/>
          <w:iCs/>
        </w:rPr>
        <w:t>consulting with relevant S</w:t>
      </w:r>
      <w:r w:rsidR="00864F45" w:rsidRPr="00A02109">
        <w:rPr>
          <w:rFonts w:ascii="Arial" w:hAnsi="Arial" w:cs="Arial"/>
          <w:iCs/>
        </w:rPr>
        <w:t xml:space="preserve">tate </w:t>
      </w:r>
      <w:r w:rsidR="00AC2A71" w:rsidRPr="00A02109">
        <w:rPr>
          <w:rFonts w:ascii="Arial" w:hAnsi="Arial" w:cs="Arial"/>
          <w:iCs/>
        </w:rPr>
        <w:t xml:space="preserve">and </w:t>
      </w:r>
      <w:r w:rsidR="00A54533" w:rsidRPr="00A02109">
        <w:rPr>
          <w:rFonts w:ascii="Arial" w:hAnsi="Arial" w:cs="Arial"/>
          <w:iCs/>
        </w:rPr>
        <w:t>Local G</w:t>
      </w:r>
      <w:r w:rsidR="00AC2A71" w:rsidRPr="00A02109">
        <w:rPr>
          <w:rFonts w:ascii="Arial" w:hAnsi="Arial" w:cs="Arial"/>
          <w:iCs/>
        </w:rPr>
        <w:t xml:space="preserve">overnments </w:t>
      </w:r>
      <w:r w:rsidR="00864F45" w:rsidRPr="00A02109">
        <w:rPr>
          <w:rFonts w:ascii="Arial" w:hAnsi="Arial" w:cs="Arial"/>
          <w:iCs/>
        </w:rPr>
        <w:t xml:space="preserve">before the land is considered eligible for transfer.  </w:t>
      </w:r>
    </w:p>
    <w:p w:rsidR="00A02109" w:rsidRPr="00A02109" w:rsidRDefault="00A02109" w:rsidP="00A02109">
      <w:pPr>
        <w:spacing w:after="0"/>
        <w:jc w:val="both"/>
        <w:rPr>
          <w:rFonts w:ascii="Arial" w:hAnsi="Arial" w:cs="Arial"/>
          <w:iCs/>
        </w:rPr>
      </w:pPr>
    </w:p>
    <w:p w:rsidR="007B2E20" w:rsidRPr="00A02109" w:rsidRDefault="007B2E20" w:rsidP="00187D22">
      <w:pPr>
        <w:spacing w:after="0"/>
        <w:jc w:val="both"/>
        <w:rPr>
          <w:rFonts w:ascii="Arial" w:hAnsi="Arial" w:cs="Arial"/>
          <w:iCs/>
        </w:rPr>
      </w:pPr>
      <w:r w:rsidRPr="00A02109">
        <w:rPr>
          <w:rFonts w:ascii="Arial" w:hAnsi="Arial" w:cs="Arial"/>
          <w:iCs/>
        </w:rPr>
        <w:t>The DoL has cond</w:t>
      </w:r>
      <w:r w:rsidR="00341C3A" w:rsidRPr="00A02109">
        <w:rPr>
          <w:rFonts w:ascii="Arial" w:hAnsi="Arial" w:cs="Arial"/>
          <w:iCs/>
        </w:rPr>
        <w:t>ucted a number of briefings to Local G</w:t>
      </w:r>
      <w:r w:rsidRPr="00A02109">
        <w:rPr>
          <w:rFonts w:ascii="Arial" w:hAnsi="Arial" w:cs="Arial"/>
          <w:iCs/>
        </w:rPr>
        <w:t>overnments across the South West explaining the land transfer process</w:t>
      </w:r>
      <w:r w:rsidR="000D454A" w:rsidRPr="00A02109">
        <w:rPr>
          <w:rFonts w:ascii="Arial" w:hAnsi="Arial" w:cs="Arial"/>
          <w:iCs/>
        </w:rPr>
        <w:t>, and in particular how they will be consulted about their interests.</w:t>
      </w:r>
    </w:p>
    <w:p w:rsidR="00B52EB3" w:rsidRDefault="00B52EB3" w:rsidP="00187D22">
      <w:pPr>
        <w:spacing w:after="0"/>
        <w:jc w:val="both"/>
        <w:rPr>
          <w:rFonts w:ascii="Arial" w:eastAsia="Calibri" w:hAnsi="Arial" w:cs="Arial"/>
        </w:rPr>
      </w:pPr>
    </w:p>
    <w:p w:rsidR="003B7624" w:rsidRPr="003B7624" w:rsidRDefault="000D454A" w:rsidP="00D9793B">
      <w:pPr>
        <w:rPr>
          <w:rFonts w:ascii="ArialMT" w:hAnsi="ArialMT" w:cs="ArialMT"/>
          <w:color w:val="C75928"/>
          <w:sz w:val="48"/>
          <w:szCs w:val="48"/>
        </w:rPr>
      </w:pPr>
      <w:r>
        <w:rPr>
          <w:rFonts w:ascii="ArialMT" w:hAnsi="ArialMT" w:cs="ArialMT"/>
          <w:color w:val="C75928"/>
          <w:sz w:val="48"/>
          <w:szCs w:val="48"/>
        </w:rPr>
        <w:t xml:space="preserve">WA </w:t>
      </w:r>
      <w:r w:rsidR="003B7624" w:rsidRPr="003B7624">
        <w:rPr>
          <w:rFonts w:ascii="ArialMT" w:hAnsi="ArialMT" w:cs="ArialMT"/>
          <w:color w:val="C75928"/>
          <w:sz w:val="48"/>
          <w:szCs w:val="48"/>
        </w:rPr>
        <w:t>Government Implementation Planning</w:t>
      </w:r>
    </w:p>
    <w:p w:rsidR="007C152B" w:rsidRDefault="00BF6A70" w:rsidP="00187D22">
      <w:pPr>
        <w:spacing w:after="0"/>
        <w:jc w:val="both"/>
        <w:rPr>
          <w:rFonts w:ascii="Arial" w:eastAsia="Calibri" w:hAnsi="Arial" w:cs="Arial"/>
        </w:rPr>
      </w:pPr>
      <w:r w:rsidRPr="00C74DC6">
        <w:rPr>
          <w:rFonts w:ascii="Arial" w:eastAsia="Calibri" w:hAnsi="Arial" w:cs="Arial"/>
        </w:rPr>
        <w:t xml:space="preserve">In preparation for </w:t>
      </w:r>
      <w:r w:rsidR="004D757E" w:rsidRPr="00C74DC6">
        <w:rPr>
          <w:rFonts w:ascii="Arial" w:eastAsia="Calibri" w:hAnsi="Arial" w:cs="Arial"/>
        </w:rPr>
        <w:t xml:space="preserve">the </w:t>
      </w:r>
      <w:r w:rsidR="008E781F">
        <w:rPr>
          <w:rFonts w:ascii="Arial" w:eastAsia="Calibri" w:hAnsi="Arial" w:cs="Arial"/>
        </w:rPr>
        <w:t>po</w:t>
      </w:r>
      <w:r w:rsidR="00CA19C1">
        <w:rPr>
          <w:rFonts w:ascii="Arial" w:eastAsia="Calibri" w:hAnsi="Arial" w:cs="Arial"/>
        </w:rPr>
        <w:t>tential</w:t>
      </w:r>
      <w:r w:rsidR="008E781F">
        <w:rPr>
          <w:rFonts w:ascii="Arial" w:eastAsia="Calibri" w:hAnsi="Arial" w:cs="Arial"/>
        </w:rPr>
        <w:t xml:space="preserve"> </w:t>
      </w:r>
      <w:r w:rsidR="004D757E" w:rsidRPr="00C74DC6">
        <w:rPr>
          <w:rFonts w:ascii="Arial" w:eastAsia="Calibri" w:hAnsi="Arial" w:cs="Arial"/>
        </w:rPr>
        <w:t xml:space="preserve">commencement of the </w:t>
      </w:r>
      <w:r w:rsidR="008E781F">
        <w:rPr>
          <w:rFonts w:ascii="Arial" w:eastAsia="Calibri" w:hAnsi="Arial" w:cs="Arial"/>
        </w:rPr>
        <w:t xml:space="preserve">Settlement in </w:t>
      </w:r>
      <w:r w:rsidR="000A0B9F">
        <w:rPr>
          <w:rFonts w:ascii="Arial" w:eastAsia="Calibri" w:hAnsi="Arial" w:cs="Arial"/>
        </w:rPr>
        <w:t>early</w:t>
      </w:r>
      <w:r w:rsidR="00F65293">
        <w:rPr>
          <w:rFonts w:ascii="Arial" w:eastAsia="Calibri" w:hAnsi="Arial" w:cs="Arial"/>
        </w:rPr>
        <w:t xml:space="preserve"> </w:t>
      </w:r>
      <w:r w:rsidRPr="00C74DC6">
        <w:rPr>
          <w:rFonts w:ascii="Arial" w:eastAsia="Calibri" w:hAnsi="Arial" w:cs="Arial"/>
        </w:rPr>
        <w:t xml:space="preserve">2017, </w:t>
      </w:r>
      <w:r w:rsidR="003B7624" w:rsidRPr="00C74DC6">
        <w:rPr>
          <w:rFonts w:ascii="Arial" w:eastAsia="Calibri" w:hAnsi="Arial" w:cs="Arial"/>
        </w:rPr>
        <w:t xml:space="preserve">DPC </w:t>
      </w:r>
      <w:r w:rsidRPr="00C74DC6">
        <w:rPr>
          <w:rFonts w:ascii="Arial" w:eastAsia="Calibri" w:hAnsi="Arial" w:cs="Arial"/>
        </w:rPr>
        <w:t>will</w:t>
      </w:r>
      <w:r w:rsidR="004D757E" w:rsidRPr="00C74DC6">
        <w:rPr>
          <w:rFonts w:ascii="Arial" w:eastAsia="Calibri" w:hAnsi="Arial" w:cs="Arial"/>
        </w:rPr>
        <w:t xml:space="preserve"> </w:t>
      </w:r>
      <w:r w:rsidR="002A4662">
        <w:rPr>
          <w:rFonts w:ascii="Arial" w:eastAsia="Calibri" w:hAnsi="Arial" w:cs="Arial"/>
        </w:rPr>
        <w:t>soon be</w:t>
      </w:r>
      <w:r w:rsidRPr="00C74DC6">
        <w:rPr>
          <w:rFonts w:ascii="Arial" w:eastAsia="Calibri" w:hAnsi="Arial" w:cs="Arial"/>
        </w:rPr>
        <w:t xml:space="preserve"> conven</w:t>
      </w:r>
      <w:r w:rsidR="002A4662">
        <w:rPr>
          <w:rFonts w:ascii="Arial" w:eastAsia="Calibri" w:hAnsi="Arial" w:cs="Arial"/>
        </w:rPr>
        <w:t>ing</w:t>
      </w:r>
      <w:r w:rsidRPr="00C74DC6">
        <w:rPr>
          <w:rFonts w:ascii="Arial" w:eastAsia="Calibri" w:hAnsi="Arial" w:cs="Arial"/>
        </w:rPr>
        <w:t xml:space="preserve"> a preliminary meeting of the South West Settlement Implementation Group</w:t>
      </w:r>
      <w:r w:rsidR="004D757E" w:rsidRPr="00C74DC6">
        <w:rPr>
          <w:rFonts w:ascii="Arial" w:eastAsia="Calibri" w:hAnsi="Arial" w:cs="Arial"/>
        </w:rPr>
        <w:t>.  The Group is</w:t>
      </w:r>
      <w:r w:rsidRPr="00C74DC6">
        <w:rPr>
          <w:rFonts w:ascii="Arial" w:eastAsia="Calibri" w:hAnsi="Arial" w:cs="Arial"/>
        </w:rPr>
        <w:t xml:space="preserve"> comprised of senior representatives </w:t>
      </w:r>
      <w:r w:rsidR="004D757E" w:rsidRPr="00C74DC6">
        <w:rPr>
          <w:rFonts w:ascii="Arial" w:eastAsia="Calibri" w:hAnsi="Arial" w:cs="Arial"/>
        </w:rPr>
        <w:t xml:space="preserve">from </w:t>
      </w:r>
      <w:r w:rsidRPr="00C74DC6">
        <w:rPr>
          <w:rFonts w:ascii="Arial" w:eastAsia="Calibri" w:hAnsi="Arial" w:cs="Arial"/>
        </w:rPr>
        <w:t>those Government agencies with commitments under the Settlement. A</w:t>
      </w:r>
      <w:r w:rsidR="003B7624" w:rsidRPr="00C74DC6">
        <w:rPr>
          <w:rFonts w:ascii="Arial" w:eastAsia="Calibri" w:hAnsi="Arial" w:cs="Arial"/>
        </w:rPr>
        <w:t xml:space="preserve"> Government Service Management Plan</w:t>
      </w:r>
      <w:r w:rsidRPr="00C74DC6">
        <w:rPr>
          <w:rFonts w:ascii="Arial" w:eastAsia="Calibri" w:hAnsi="Arial" w:cs="Arial"/>
        </w:rPr>
        <w:t xml:space="preserve"> (GSMP) is also being finalised </w:t>
      </w:r>
      <w:r w:rsidR="00725D68" w:rsidRPr="00C74DC6">
        <w:rPr>
          <w:rFonts w:ascii="Arial" w:eastAsia="Calibri" w:hAnsi="Arial" w:cs="Arial"/>
        </w:rPr>
        <w:t xml:space="preserve">with each of the agencies </w:t>
      </w:r>
      <w:r w:rsidRPr="00C74DC6">
        <w:rPr>
          <w:rFonts w:ascii="Arial" w:eastAsia="Calibri" w:hAnsi="Arial" w:cs="Arial"/>
        </w:rPr>
        <w:t xml:space="preserve">to </w:t>
      </w:r>
      <w:r w:rsidR="003B7624" w:rsidRPr="00C74DC6">
        <w:rPr>
          <w:rFonts w:ascii="Arial" w:eastAsia="Calibri" w:hAnsi="Arial" w:cs="Arial"/>
        </w:rPr>
        <w:t>record</w:t>
      </w:r>
      <w:r w:rsidR="00F528BE" w:rsidRPr="00C74DC6">
        <w:rPr>
          <w:rFonts w:ascii="Arial" w:eastAsia="Calibri" w:hAnsi="Arial" w:cs="Arial"/>
        </w:rPr>
        <w:t>,</w:t>
      </w:r>
      <w:r w:rsidR="007C152B" w:rsidRPr="00C74DC6">
        <w:rPr>
          <w:rFonts w:ascii="Arial" w:eastAsia="Calibri" w:hAnsi="Arial" w:cs="Arial"/>
        </w:rPr>
        <w:t xml:space="preserve"> </w:t>
      </w:r>
      <w:r w:rsidRPr="00C74DC6">
        <w:rPr>
          <w:rFonts w:ascii="Arial" w:eastAsia="Calibri" w:hAnsi="Arial" w:cs="Arial"/>
        </w:rPr>
        <w:t>and facilitate reporting against</w:t>
      </w:r>
      <w:r w:rsidR="00F528BE" w:rsidRPr="00C74DC6">
        <w:rPr>
          <w:rFonts w:ascii="Arial" w:eastAsia="Calibri" w:hAnsi="Arial" w:cs="Arial"/>
        </w:rPr>
        <w:t>,</w:t>
      </w:r>
      <w:r w:rsidRPr="00C74DC6">
        <w:rPr>
          <w:rFonts w:ascii="Arial" w:eastAsia="Calibri" w:hAnsi="Arial" w:cs="Arial"/>
        </w:rPr>
        <w:t xml:space="preserve"> each Department’s Settlement </w:t>
      </w:r>
      <w:r w:rsidR="00F528BE" w:rsidRPr="00C74DC6">
        <w:rPr>
          <w:rFonts w:ascii="Arial" w:eastAsia="Calibri" w:hAnsi="Arial" w:cs="Arial"/>
        </w:rPr>
        <w:t xml:space="preserve">ILUA </w:t>
      </w:r>
      <w:r w:rsidRPr="00C74DC6">
        <w:rPr>
          <w:rFonts w:ascii="Arial" w:eastAsia="Calibri" w:hAnsi="Arial" w:cs="Arial"/>
        </w:rPr>
        <w:t xml:space="preserve">obligations </w:t>
      </w:r>
      <w:r w:rsidR="007C152B" w:rsidRPr="00C74DC6">
        <w:rPr>
          <w:rFonts w:ascii="Arial" w:eastAsia="Calibri" w:hAnsi="Arial" w:cs="Arial"/>
        </w:rPr>
        <w:t>and associated timeframes</w:t>
      </w:r>
      <w:r w:rsidR="00F528BE" w:rsidRPr="00C74DC6">
        <w:rPr>
          <w:rFonts w:ascii="Arial" w:eastAsia="Calibri" w:hAnsi="Arial" w:cs="Arial"/>
        </w:rPr>
        <w:t>, as well as the broader Settlement objectives.</w:t>
      </w:r>
      <w:r w:rsidR="00F528BE">
        <w:rPr>
          <w:rFonts w:ascii="Arial" w:eastAsia="Calibri" w:hAnsi="Arial" w:cs="Arial"/>
        </w:rPr>
        <w:t xml:space="preserve"> </w:t>
      </w:r>
    </w:p>
    <w:p w:rsidR="00C50FBA" w:rsidRDefault="00C50FBA" w:rsidP="00187D22">
      <w:pPr>
        <w:spacing w:after="0"/>
        <w:jc w:val="both"/>
        <w:rPr>
          <w:rFonts w:ascii="Arial" w:eastAsia="Calibri" w:hAnsi="Arial" w:cs="Arial"/>
        </w:rPr>
      </w:pPr>
    </w:p>
    <w:p w:rsidR="00B7327E" w:rsidRDefault="00933771" w:rsidP="00B7327E">
      <w:pPr>
        <w:spacing w:after="0" w:line="240" w:lineRule="auto"/>
        <w:jc w:val="center"/>
        <w:rPr>
          <w:rFonts w:ascii="Arial" w:eastAsia="Calibri" w:hAnsi="Arial" w:cs="Arial"/>
        </w:rPr>
      </w:pPr>
      <w:r>
        <w:rPr>
          <w:rFonts w:ascii="ArialMT" w:hAnsi="ArialMT" w:cs="ArialMT"/>
          <w:color w:val="C75928"/>
          <w:sz w:val="48"/>
          <w:szCs w:val="48"/>
        </w:rPr>
        <w:t>Communication</w:t>
      </w:r>
    </w:p>
    <w:p w:rsidR="00B7327E" w:rsidRDefault="00B7327E" w:rsidP="00B6655A">
      <w:pPr>
        <w:spacing w:after="0" w:line="240" w:lineRule="auto"/>
        <w:jc w:val="both"/>
        <w:rPr>
          <w:rFonts w:ascii="Arial" w:eastAsia="Calibri" w:hAnsi="Arial" w:cs="Arial"/>
        </w:rPr>
      </w:pPr>
    </w:p>
    <w:p w:rsidR="00A02CE4" w:rsidRPr="006804E2" w:rsidRDefault="00A02CE4" w:rsidP="00A02CE4">
      <w:pPr>
        <w:spacing w:after="0" w:line="240" w:lineRule="auto"/>
        <w:jc w:val="both"/>
        <w:rPr>
          <w:rFonts w:ascii="Arial" w:hAnsi="Arial" w:cs="Arial"/>
          <w:color w:val="026694"/>
          <w:sz w:val="34"/>
          <w:szCs w:val="34"/>
        </w:rPr>
      </w:pPr>
      <w:r w:rsidRPr="006804E2">
        <w:rPr>
          <w:rFonts w:ascii="Arial" w:hAnsi="Arial" w:cs="Arial"/>
          <w:color w:val="026694"/>
          <w:sz w:val="34"/>
          <w:szCs w:val="34"/>
        </w:rPr>
        <w:t>South West</w:t>
      </w:r>
      <w:r w:rsidR="007C152B" w:rsidRPr="006804E2">
        <w:rPr>
          <w:rFonts w:ascii="Arial" w:hAnsi="Arial" w:cs="Arial"/>
          <w:color w:val="026694"/>
          <w:sz w:val="34"/>
          <w:szCs w:val="34"/>
        </w:rPr>
        <w:t xml:space="preserve"> </w:t>
      </w:r>
      <w:r w:rsidRPr="006804E2">
        <w:rPr>
          <w:rFonts w:ascii="Arial" w:hAnsi="Arial" w:cs="Arial"/>
          <w:color w:val="026694"/>
          <w:sz w:val="34"/>
          <w:szCs w:val="34"/>
        </w:rPr>
        <w:t>Settlement Briefings</w:t>
      </w:r>
    </w:p>
    <w:p w:rsidR="00B7327E" w:rsidRPr="00B7327E" w:rsidRDefault="00B7327E" w:rsidP="00B6655A">
      <w:pPr>
        <w:spacing w:after="0" w:line="240" w:lineRule="auto"/>
        <w:jc w:val="both"/>
        <w:rPr>
          <w:rFonts w:ascii="MyriadPro-Semibold" w:hAnsi="MyriadPro-Semibold" w:cs="MyriadPro-Semibold"/>
          <w:color w:val="026694"/>
        </w:rPr>
      </w:pPr>
    </w:p>
    <w:p w:rsidR="003B564A" w:rsidRDefault="00494732" w:rsidP="003B564A">
      <w:pPr>
        <w:spacing w:after="0"/>
        <w:jc w:val="both"/>
        <w:rPr>
          <w:rFonts w:ascii="Arial" w:eastAsia="Calibri" w:hAnsi="Arial" w:cs="Arial"/>
        </w:rPr>
      </w:pPr>
      <w:r>
        <w:rPr>
          <w:rFonts w:ascii="Arial" w:eastAsia="Calibri" w:hAnsi="Arial" w:cs="Arial"/>
        </w:rPr>
        <w:t xml:space="preserve">DPC, DAA and DoL representatives </w:t>
      </w:r>
      <w:r w:rsidR="006D0CE9">
        <w:rPr>
          <w:rFonts w:ascii="Arial" w:eastAsia="Calibri" w:hAnsi="Arial" w:cs="Arial"/>
        </w:rPr>
        <w:t xml:space="preserve">continue to offer briefings on the Settlement to </w:t>
      </w:r>
      <w:r w:rsidR="00C37C65">
        <w:rPr>
          <w:rFonts w:ascii="Arial" w:eastAsia="Calibri" w:hAnsi="Arial" w:cs="Arial"/>
        </w:rPr>
        <w:t xml:space="preserve">a range of stakeholders, including </w:t>
      </w:r>
      <w:r w:rsidR="006804E2">
        <w:rPr>
          <w:rFonts w:ascii="Arial" w:eastAsia="Calibri" w:hAnsi="Arial" w:cs="Arial"/>
        </w:rPr>
        <w:t>WA Government</w:t>
      </w:r>
      <w:r>
        <w:rPr>
          <w:rFonts w:ascii="Arial" w:eastAsia="Calibri" w:hAnsi="Arial" w:cs="Arial"/>
        </w:rPr>
        <w:t xml:space="preserve"> </w:t>
      </w:r>
      <w:r w:rsidR="006D0CE9">
        <w:rPr>
          <w:rFonts w:ascii="Arial" w:eastAsia="Calibri" w:hAnsi="Arial" w:cs="Arial"/>
        </w:rPr>
        <w:t>agencies</w:t>
      </w:r>
      <w:r w:rsidR="00C37C65" w:rsidRPr="001D16FC">
        <w:rPr>
          <w:rFonts w:ascii="Arial" w:hAnsi="Arial" w:cs="Arial"/>
        </w:rPr>
        <w:t xml:space="preserve"> </w:t>
      </w:r>
      <w:r w:rsidR="00C37C65">
        <w:rPr>
          <w:rFonts w:ascii="Arial" w:eastAsia="Calibri" w:hAnsi="Arial" w:cs="Arial"/>
        </w:rPr>
        <w:t>and</w:t>
      </w:r>
      <w:r>
        <w:rPr>
          <w:rFonts w:ascii="Arial" w:eastAsia="Calibri" w:hAnsi="Arial" w:cs="Arial"/>
        </w:rPr>
        <w:t xml:space="preserve"> </w:t>
      </w:r>
      <w:r w:rsidR="006D0CE9">
        <w:rPr>
          <w:rFonts w:ascii="Arial" w:eastAsia="Calibri" w:hAnsi="Arial" w:cs="Arial"/>
        </w:rPr>
        <w:t>Local Governments.</w:t>
      </w:r>
      <w:r w:rsidR="003B564A">
        <w:rPr>
          <w:rFonts w:ascii="Arial" w:eastAsia="Calibri" w:hAnsi="Arial" w:cs="Arial"/>
        </w:rPr>
        <w:t xml:space="preserve"> </w:t>
      </w:r>
    </w:p>
    <w:p w:rsidR="003B564A" w:rsidRDefault="003B564A" w:rsidP="003B564A">
      <w:pPr>
        <w:spacing w:after="0"/>
        <w:jc w:val="both"/>
        <w:rPr>
          <w:rFonts w:ascii="Arial" w:eastAsia="Calibri" w:hAnsi="Arial" w:cs="Arial"/>
        </w:rPr>
      </w:pPr>
    </w:p>
    <w:p w:rsidR="003B564A" w:rsidRDefault="003B564A" w:rsidP="003B564A">
      <w:pPr>
        <w:spacing w:after="0"/>
        <w:jc w:val="both"/>
        <w:rPr>
          <w:rFonts w:ascii="Arial" w:eastAsia="Calibri" w:hAnsi="Arial" w:cs="Arial"/>
        </w:rPr>
      </w:pPr>
      <w:r>
        <w:rPr>
          <w:rFonts w:ascii="Arial" w:eastAsia="Calibri" w:hAnsi="Arial" w:cs="Arial"/>
        </w:rPr>
        <w:t>W</w:t>
      </w:r>
      <w:r w:rsidRPr="006D0CE9">
        <w:rPr>
          <w:rFonts w:ascii="Arial" w:eastAsia="Calibri" w:hAnsi="Arial" w:cs="Arial"/>
        </w:rPr>
        <w:t>hilst Local Governments are not signatories to the Settlement, potential intersections and opportunities arise</w:t>
      </w:r>
      <w:r w:rsidR="005E3002">
        <w:rPr>
          <w:rFonts w:ascii="Arial" w:eastAsia="Calibri" w:hAnsi="Arial" w:cs="Arial"/>
        </w:rPr>
        <w:t xml:space="preserve">. </w:t>
      </w:r>
      <w:r w:rsidR="00371BCB">
        <w:rPr>
          <w:rFonts w:ascii="Arial" w:eastAsia="Calibri" w:hAnsi="Arial" w:cs="Arial"/>
        </w:rPr>
        <w:t>A</w:t>
      </w:r>
      <w:r w:rsidR="006D0CE9">
        <w:rPr>
          <w:rFonts w:ascii="Arial" w:eastAsia="Calibri" w:hAnsi="Arial" w:cs="Arial"/>
        </w:rPr>
        <w:t xml:space="preserve">ll 102 </w:t>
      </w:r>
      <w:r w:rsidR="00457A3E">
        <w:rPr>
          <w:rFonts w:ascii="Arial" w:eastAsia="Calibri" w:hAnsi="Arial" w:cs="Arial"/>
        </w:rPr>
        <w:t xml:space="preserve">Local </w:t>
      </w:r>
      <w:r w:rsidR="006D0CE9">
        <w:rPr>
          <w:rFonts w:ascii="Arial" w:eastAsia="Calibri" w:hAnsi="Arial" w:cs="Arial"/>
        </w:rPr>
        <w:t>Governments</w:t>
      </w:r>
      <w:r w:rsidR="00C37C65">
        <w:rPr>
          <w:rFonts w:ascii="Arial" w:eastAsia="Calibri" w:hAnsi="Arial" w:cs="Arial"/>
        </w:rPr>
        <w:t xml:space="preserve"> affected by the Settlement </w:t>
      </w:r>
      <w:r w:rsidR="006D0CE9">
        <w:rPr>
          <w:rFonts w:ascii="Arial" w:eastAsia="Calibri" w:hAnsi="Arial" w:cs="Arial"/>
        </w:rPr>
        <w:t xml:space="preserve">have </w:t>
      </w:r>
      <w:r w:rsidR="005E3002">
        <w:rPr>
          <w:rFonts w:ascii="Arial" w:eastAsia="Calibri" w:hAnsi="Arial" w:cs="Arial"/>
        </w:rPr>
        <w:t xml:space="preserve">therefore </w:t>
      </w:r>
      <w:r w:rsidR="006F21E7">
        <w:rPr>
          <w:rFonts w:ascii="Arial" w:eastAsia="Calibri" w:hAnsi="Arial" w:cs="Arial"/>
        </w:rPr>
        <w:t xml:space="preserve">been offered the </w:t>
      </w:r>
      <w:r w:rsidR="006D0CE9">
        <w:rPr>
          <w:rFonts w:ascii="Arial" w:eastAsia="Calibri" w:hAnsi="Arial" w:cs="Arial"/>
        </w:rPr>
        <w:t>opportunity to attend briefings</w:t>
      </w:r>
      <w:r w:rsidR="00371BCB">
        <w:rPr>
          <w:rFonts w:ascii="Arial" w:eastAsia="Calibri" w:hAnsi="Arial" w:cs="Arial"/>
        </w:rPr>
        <w:t xml:space="preserve"> over the </w:t>
      </w:r>
      <w:r w:rsidR="006F21E7">
        <w:rPr>
          <w:rFonts w:ascii="Arial" w:eastAsia="Calibri" w:hAnsi="Arial" w:cs="Arial"/>
        </w:rPr>
        <w:t>p</w:t>
      </w:r>
      <w:r w:rsidR="00371BCB">
        <w:rPr>
          <w:rFonts w:ascii="Arial" w:eastAsia="Calibri" w:hAnsi="Arial" w:cs="Arial"/>
        </w:rPr>
        <w:t>ast year</w:t>
      </w:r>
      <w:r w:rsidR="006D0CE9">
        <w:rPr>
          <w:rFonts w:ascii="Arial" w:eastAsia="Calibri" w:hAnsi="Arial" w:cs="Arial"/>
        </w:rPr>
        <w:t xml:space="preserve"> in relation to relevant elements of the Settlement, including the land transfer process</w:t>
      </w:r>
      <w:r w:rsidR="00371BCB">
        <w:rPr>
          <w:rFonts w:ascii="Arial" w:eastAsia="Calibri" w:hAnsi="Arial" w:cs="Arial"/>
        </w:rPr>
        <w:t xml:space="preserve">.  Following presentations </w:t>
      </w:r>
      <w:r w:rsidR="006F21E7">
        <w:rPr>
          <w:rFonts w:ascii="Arial" w:eastAsia="Calibri" w:hAnsi="Arial" w:cs="Arial"/>
        </w:rPr>
        <w:t>at R</w:t>
      </w:r>
      <w:r w:rsidR="00371BCB">
        <w:rPr>
          <w:rFonts w:ascii="Arial" w:eastAsia="Calibri" w:hAnsi="Arial" w:cs="Arial"/>
        </w:rPr>
        <w:t xml:space="preserve">egional </w:t>
      </w:r>
      <w:r w:rsidR="006F21E7">
        <w:rPr>
          <w:rFonts w:ascii="Arial" w:eastAsia="Calibri" w:hAnsi="Arial" w:cs="Arial"/>
        </w:rPr>
        <w:t>Z</w:t>
      </w:r>
      <w:r w:rsidR="00371BCB">
        <w:rPr>
          <w:rFonts w:ascii="Arial" w:eastAsia="Calibri" w:hAnsi="Arial" w:cs="Arial"/>
        </w:rPr>
        <w:t xml:space="preserve">one meetings, a </w:t>
      </w:r>
      <w:r w:rsidR="006F21E7">
        <w:rPr>
          <w:rFonts w:ascii="Arial" w:eastAsia="Calibri" w:hAnsi="Arial" w:cs="Arial"/>
        </w:rPr>
        <w:t>briefing was provided for interested</w:t>
      </w:r>
      <w:r w:rsidR="00371BCB">
        <w:rPr>
          <w:rFonts w:ascii="Arial" w:eastAsia="Calibri" w:hAnsi="Arial" w:cs="Arial"/>
        </w:rPr>
        <w:t xml:space="preserve"> Metropolitan Zone representatives on 19 May 2016</w:t>
      </w:r>
      <w:r w:rsidR="006F21E7">
        <w:rPr>
          <w:rFonts w:ascii="Arial" w:eastAsia="Calibri" w:hAnsi="Arial" w:cs="Arial"/>
        </w:rPr>
        <w:t xml:space="preserve"> at WALGA</w:t>
      </w:r>
      <w:r w:rsidR="006D0CE9">
        <w:rPr>
          <w:rFonts w:ascii="Arial" w:eastAsia="Calibri" w:hAnsi="Arial" w:cs="Arial"/>
        </w:rPr>
        <w:t xml:space="preserve">. </w:t>
      </w:r>
    </w:p>
    <w:p w:rsidR="003B564A" w:rsidRDefault="003B564A" w:rsidP="003B564A">
      <w:pPr>
        <w:spacing w:after="0"/>
        <w:jc w:val="both"/>
        <w:rPr>
          <w:rFonts w:ascii="Arial" w:eastAsia="Calibri" w:hAnsi="Arial" w:cs="Arial"/>
        </w:rPr>
      </w:pPr>
    </w:p>
    <w:p w:rsidR="006D0CE9" w:rsidRDefault="006D0CE9" w:rsidP="003B564A">
      <w:pPr>
        <w:spacing w:after="0"/>
        <w:jc w:val="both"/>
      </w:pPr>
      <w:r w:rsidRPr="006D0CE9">
        <w:rPr>
          <w:rFonts w:ascii="Arial" w:eastAsia="Calibri" w:hAnsi="Arial" w:cs="Arial"/>
        </w:rPr>
        <w:t xml:space="preserve">Staff from DPC, the </w:t>
      </w:r>
      <w:r w:rsidR="000D454A">
        <w:rPr>
          <w:rFonts w:ascii="Arial" w:eastAsia="Calibri" w:hAnsi="Arial" w:cs="Arial"/>
        </w:rPr>
        <w:t>DAA and DoL</w:t>
      </w:r>
      <w:r w:rsidRPr="006D0CE9">
        <w:rPr>
          <w:rFonts w:ascii="Arial" w:eastAsia="Calibri" w:hAnsi="Arial" w:cs="Arial"/>
        </w:rPr>
        <w:t xml:space="preserve"> will </w:t>
      </w:r>
      <w:r w:rsidR="003B564A">
        <w:rPr>
          <w:rFonts w:ascii="Arial" w:eastAsia="Calibri" w:hAnsi="Arial" w:cs="Arial"/>
        </w:rPr>
        <w:t xml:space="preserve">also host a booth at the </w:t>
      </w:r>
      <w:r w:rsidR="003B564A" w:rsidRPr="00441D50">
        <w:rPr>
          <w:rFonts w:ascii="Arial" w:eastAsia="Calibri" w:hAnsi="Arial" w:cs="Arial"/>
        </w:rPr>
        <w:t xml:space="preserve">WA Local Government Convention and Trade Exhibition to be held from 3-5 August </w:t>
      </w:r>
      <w:r w:rsidR="006F21E7" w:rsidRPr="00441D50">
        <w:rPr>
          <w:rFonts w:ascii="Arial" w:eastAsia="Calibri" w:hAnsi="Arial" w:cs="Arial"/>
        </w:rPr>
        <w:t xml:space="preserve">2016 </w:t>
      </w:r>
      <w:r w:rsidR="003B564A" w:rsidRPr="00441D50">
        <w:rPr>
          <w:rFonts w:ascii="Arial" w:eastAsia="Calibri" w:hAnsi="Arial" w:cs="Arial"/>
        </w:rPr>
        <w:t xml:space="preserve">at the Perth Convention </w:t>
      </w:r>
      <w:r w:rsidR="003B564A" w:rsidRPr="00441D50">
        <w:rPr>
          <w:rFonts w:ascii="Arial" w:eastAsia="Calibri" w:hAnsi="Arial" w:cs="Arial"/>
        </w:rPr>
        <w:lastRenderedPageBreak/>
        <w:t>and Exhibition Centre</w:t>
      </w:r>
      <w:r w:rsidR="00371BCB">
        <w:rPr>
          <w:rFonts w:ascii="Arial" w:eastAsia="Calibri" w:hAnsi="Arial" w:cs="Arial"/>
        </w:rPr>
        <w:t xml:space="preserve">.  </w:t>
      </w:r>
      <w:r w:rsidR="006F21E7">
        <w:rPr>
          <w:rFonts w:ascii="Arial" w:eastAsia="Calibri" w:hAnsi="Arial" w:cs="Arial"/>
        </w:rPr>
        <w:t>Staff will be there to answer questions and provide information in relation to</w:t>
      </w:r>
      <w:r w:rsidRPr="006D0CE9">
        <w:rPr>
          <w:rFonts w:ascii="Arial" w:eastAsia="Calibri" w:hAnsi="Arial" w:cs="Arial"/>
        </w:rPr>
        <w:t xml:space="preserve"> key elements of the Settlement that may be relevant to Local Governments, including land transfers, land access for customary activities</w:t>
      </w:r>
      <w:r w:rsidR="00127CF5">
        <w:rPr>
          <w:rFonts w:ascii="Arial" w:eastAsia="Calibri" w:hAnsi="Arial" w:cs="Arial"/>
        </w:rPr>
        <w:t>,</w:t>
      </w:r>
      <w:r w:rsidRPr="006D0CE9">
        <w:rPr>
          <w:rFonts w:ascii="Arial" w:eastAsia="Calibri" w:hAnsi="Arial" w:cs="Arial"/>
        </w:rPr>
        <w:t xml:space="preserve"> heritage processes, Noongar governance structures</w:t>
      </w:r>
      <w:r w:rsidR="00127CF5">
        <w:rPr>
          <w:rFonts w:ascii="Arial" w:eastAsia="Calibri" w:hAnsi="Arial" w:cs="Arial"/>
        </w:rPr>
        <w:t>,</w:t>
      </w:r>
      <w:r w:rsidRPr="006D0CE9">
        <w:rPr>
          <w:rFonts w:ascii="Arial" w:eastAsia="Calibri" w:hAnsi="Arial" w:cs="Arial"/>
        </w:rPr>
        <w:t xml:space="preserve"> and economic and community development frameworks.</w:t>
      </w:r>
      <w:r>
        <w:t xml:space="preserve"> </w:t>
      </w:r>
    </w:p>
    <w:p w:rsidR="00FB5804" w:rsidRDefault="00FB5804" w:rsidP="006804E2">
      <w:pPr>
        <w:spacing w:after="0"/>
        <w:jc w:val="both"/>
        <w:rPr>
          <w:rFonts w:ascii="Arial" w:hAnsi="Arial" w:cs="Arial"/>
          <w:bCs/>
        </w:rPr>
      </w:pPr>
    </w:p>
    <w:p w:rsidR="00B7327E" w:rsidRDefault="00284994" w:rsidP="006804E2">
      <w:pPr>
        <w:spacing w:after="0"/>
        <w:jc w:val="both"/>
        <w:rPr>
          <w:rFonts w:ascii="Arial" w:hAnsi="Arial" w:cs="Arial"/>
        </w:rPr>
      </w:pPr>
      <w:r>
        <w:rPr>
          <w:rFonts w:ascii="Arial" w:hAnsi="Arial" w:cs="Arial"/>
          <w:bCs/>
        </w:rPr>
        <w:t>DPC, together with DAA and DoL</w:t>
      </w:r>
      <w:r w:rsidR="00FB5804">
        <w:rPr>
          <w:rFonts w:ascii="Arial" w:hAnsi="Arial" w:cs="Arial"/>
          <w:bCs/>
        </w:rPr>
        <w:t xml:space="preserve">, </w:t>
      </w:r>
      <w:r w:rsidR="00371BCB">
        <w:rPr>
          <w:rFonts w:ascii="Arial" w:hAnsi="Arial" w:cs="Arial"/>
          <w:bCs/>
        </w:rPr>
        <w:t>can</w:t>
      </w:r>
      <w:r w:rsidR="007C152B">
        <w:rPr>
          <w:rFonts w:ascii="Arial" w:hAnsi="Arial" w:cs="Arial"/>
          <w:bCs/>
        </w:rPr>
        <w:t xml:space="preserve"> </w:t>
      </w:r>
      <w:r>
        <w:rPr>
          <w:rFonts w:ascii="Arial" w:hAnsi="Arial" w:cs="Arial"/>
          <w:bCs/>
        </w:rPr>
        <w:t>arrange further briefings</w:t>
      </w:r>
      <w:r w:rsidR="00B7327E">
        <w:rPr>
          <w:rFonts w:ascii="Arial" w:hAnsi="Arial" w:cs="Arial"/>
          <w:bCs/>
        </w:rPr>
        <w:t xml:space="preserve"> upon request.  </w:t>
      </w:r>
      <w:r w:rsidR="00FB5804">
        <w:rPr>
          <w:rFonts w:ascii="Arial" w:hAnsi="Arial" w:cs="Arial"/>
          <w:bCs/>
        </w:rPr>
        <w:t>DAA</w:t>
      </w:r>
      <w:r w:rsidR="001A4FED">
        <w:rPr>
          <w:rFonts w:ascii="Arial" w:hAnsi="Arial" w:cs="Arial"/>
          <w:bCs/>
        </w:rPr>
        <w:t xml:space="preserve">’s Settlement Director </w:t>
      </w:r>
      <w:hyperlink r:id="rId18" w:history="1">
        <w:r w:rsidR="001A4FED" w:rsidRPr="005C5F22">
          <w:rPr>
            <w:rStyle w:val="Hyperlink"/>
            <w:rFonts w:ascii="Arial" w:hAnsi="Arial" w:cs="Arial"/>
          </w:rPr>
          <w:t>Jeremy Elliott</w:t>
        </w:r>
      </w:hyperlink>
      <w:r w:rsidR="00267682">
        <w:rPr>
          <w:rFonts w:ascii="Arial" w:hAnsi="Arial" w:cs="Arial"/>
          <w:bCs/>
        </w:rPr>
        <w:t xml:space="preserve"> can be contacted directly in relation to NSHA briefing requirements. </w:t>
      </w:r>
    </w:p>
    <w:p w:rsidR="00B6655A" w:rsidRDefault="00B6655A" w:rsidP="00B6655A">
      <w:pPr>
        <w:spacing w:after="0" w:line="240" w:lineRule="auto"/>
        <w:jc w:val="both"/>
        <w:rPr>
          <w:rFonts w:ascii="Arial" w:hAnsi="Arial" w:cs="Arial"/>
        </w:rPr>
      </w:pPr>
    </w:p>
    <w:p w:rsidR="00223753" w:rsidRPr="006804E2" w:rsidRDefault="00223753" w:rsidP="00E45A47">
      <w:pPr>
        <w:rPr>
          <w:rFonts w:ascii="Arial" w:hAnsi="Arial" w:cs="Arial"/>
          <w:color w:val="026694"/>
          <w:sz w:val="34"/>
          <w:szCs w:val="34"/>
        </w:rPr>
      </w:pPr>
      <w:r w:rsidRPr="006804E2">
        <w:rPr>
          <w:rFonts w:ascii="Arial" w:hAnsi="Arial" w:cs="Arial"/>
          <w:color w:val="026694"/>
          <w:sz w:val="34"/>
          <w:szCs w:val="34"/>
        </w:rPr>
        <w:t>Fact</w:t>
      </w:r>
      <w:r w:rsidRPr="006804E2">
        <w:rPr>
          <w:rFonts w:ascii="Arial" w:eastAsia="Calibri" w:hAnsi="Arial" w:cs="Arial"/>
        </w:rPr>
        <w:t xml:space="preserve"> </w:t>
      </w:r>
      <w:r w:rsidRPr="006804E2">
        <w:rPr>
          <w:rFonts w:ascii="Arial" w:hAnsi="Arial" w:cs="Arial"/>
          <w:color w:val="026694"/>
          <w:sz w:val="34"/>
          <w:szCs w:val="34"/>
        </w:rPr>
        <w:t>Sheets</w:t>
      </w:r>
      <w:r w:rsidR="007C152B" w:rsidRPr="006804E2">
        <w:rPr>
          <w:rFonts w:ascii="Arial" w:hAnsi="Arial" w:cs="Arial"/>
          <w:color w:val="026694"/>
          <w:sz w:val="34"/>
          <w:szCs w:val="34"/>
        </w:rPr>
        <w:t xml:space="preserve"> about the Settlement</w:t>
      </w:r>
    </w:p>
    <w:p w:rsidR="00840FA2" w:rsidRDefault="00606C6B" w:rsidP="006804E2">
      <w:pPr>
        <w:spacing w:after="0"/>
        <w:jc w:val="both"/>
        <w:rPr>
          <w:rFonts w:ascii="Arial" w:hAnsi="Arial" w:cs="Arial"/>
          <w:szCs w:val="24"/>
        </w:rPr>
      </w:pPr>
      <w:r>
        <w:rPr>
          <w:rFonts w:ascii="Arial" w:hAnsi="Arial" w:cs="Arial"/>
          <w:iCs/>
          <w:szCs w:val="24"/>
        </w:rPr>
        <w:t>Fact Sheets</w:t>
      </w:r>
      <w:r w:rsidR="0075079C">
        <w:rPr>
          <w:rFonts w:ascii="Arial" w:hAnsi="Arial" w:cs="Arial"/>
          <w:iCs/>
          <w:szCs w:val="24"/>
        </w:rPr>
        <w:t xml:space="preserve"> fi</w:t>
      </w:r>
      <w:r w:rsidR="00546229">
        <w:rPr>
          <w:rFonts w:ascii="Arial" w:hAnsi="Arial" w:cs="Arial"/>
          <w:iCs/>
          <w:szCs w:val="24"/>
        </w:rPr>
        <w:t>r</w:t>
      </w:r>
      <w:r w:rsidR="0075079C">
        <w:rPr>
          <w:rFonts w:ascii="Arial" w:hAnsi="Arial" w:cs="Arial"/>
          <w:iCs/>
          <w:szCs w:val="24"/>
        </w:rPr>
        <w:t xml:space="preserve">st released </w:t>
      </w:r>
      <w:r>
        <w:rPr>
          <w:rFonts w:ascii="Arial" w:hAnsi="Arial" w:cs="Arial"/>
          <w:iCs/>
          <w:szCs w:val="24"/>
        </w:rPr>
        <w:t>July 2015</w:t>
      </w:r>
      <w:r w:rsidR="006F21E7">
        <w:rPr>
          <w:rFonts w:ascii="Arial" w:hAnsi="Arial" w:cs="Arial"/>
          <w:iCs/>
          <w:szCs w:val="24"/>
        </w:rPr>
        <w:t>, and updated in December 2016</w:t>
      </w:r>
      <w:r>
        <w:rPr>
          <w:rFonts w:ascii="Arial" w:hAnsi="Arial" w:cs="Arial"/>
          <w:iCs/>
          <w:szCs w:val="24"/>
        </w:rPr>
        <w:t xml:space="preserve"> to </w:t>
      </w:r>
      <w:r w:rsidR="00223753" w:rsidRPr="005458ED">
        <w:rPr>
          <w:rFonts w:ascii="Arial" w:hAnsi="Arial" w:cs="Arial"/>
          <w:iCs/>
          <w:szCs w:val="24"/>
        </w:rPr>
        <w:t xml:space="preserve">assist in stakeholder and broader community understanding of the </w:t>
      </w:r>
      <w:r w:rsidR="00223753">
        <w:rPr>
          <w:rFonts w:ascii="Arial" w:hAnsi="Arial" w:cs="Arial"/>
          <w:iCs/>
          <w:szCs w:val="24"/>
        </w:rPr>
        <w:t xml:space="preserve">South West Native Title </w:t>
      </w:r>
      <w:r w:rsidR="006F21E7">
        <w:rPr>
          <w:rFonts w:ascii="Arial" w:hAnsi="Arial" w:cs="Arial"/>
          <w:iCs/>
          <w:szCs w:val="24"/>
        </w:rPr>
        <w:t>Settlement</w:t>
      </w:r>
      <w:r w:rsidR="00C74DC6">
        <w:rPr>
          <w:rFonts w:ascii="Arial" w:hAnsi="Arial" w:cs="Arial"/>
          <w:iCs/>
          <w:szCs w:val="24"/>
        </w:rPr>
        <w:t xml:space="preserve">, </w:t>
      </w:r>
      <w:r w:rsidR="001A4FED">
        <w:rPr>
          <w:rFonts w:ascii="Arial" w:hAnsi="Arial" w:cs="Arial"/>
          <w:iCs/>
          <w:szCs w:val="24"/>
        </w:rPr>
        <w:t xml:space="preserve">are </w:t>
      </w:r>
      <w:r w:rsidR="005D39B1">
        <w:rPr>
          <w:rFonts w:ascii="Arial" w:hAnsi="Arial" w:cs="Arial"/>
          <w:iCs/>
          <w:szCs w:val="24"/>
        </w:rPr>
        <w:t>being</w:t>
      </w:r>
      <w:r w:rsidR="00C74DC6">
        <w:rPr>
          <w:rFonts w:ascii="Arial" w:hAnsi="Arial" w:cs="Arial"/>
          <w:iCs/>
          <w:szCs w:val="24"/>
        </w:rPr>
        <w:t xml:space="preserve"> </w:t>
      </w:r>
      <w:r w:rsidR="001A4FED">
        <w:rPr>
          <w:rFonts w:ascii="Arial" w:hAnsi="Arial" w:cs="Arial"/>
          <w:iCs/>
          <w:szCs w:val="24"/>
        </w:rPr>
        <w:t xml:space="preserve">further </w:t>
      </w:r>
      <w:r w:rsidR="00C74DC6">
        <w:rPr>
          <w:rFonts w:ascii="Arial" w:hAnsi="Arial" w:cs="Arial"/>
          <w:iCs/>
          <w:szCs w:val="24"/>
        </w:rPr>
        <w:t xml:space="preserve">updated to </w:t>
      </w:r>
      <w:r w:rsidR="006F21E7">
        <w:rPr>
          <w:rFonts w:ascii="Arial" w:hAnsi="Arial" w:cs="Arial"/>
          <w:iCs/>
          <w:szCs w:val="24"/>
        </w:rPr>
        <w:t>incorporate</w:t>
      </w:r>
      <w:r w:rsidR="00C74DC6">
        <w:rPr>
          <w:rFonts w:ascii="Arial" w:hAnsi="Arial" w:cs="Arial"/>
          <w:iCs/>
          <w:szCs w:val="24"/>
        </w:rPr>
        <w:t xml:space="preserve"> recent developments</w:t>
      </w:r>
      <w:r>
        <w:rPr>
          <w:rFonts w:ascii="Arial" w:hAnsi="Arial" w:cs="Arial"/>
          <w:iCs/>
          <w:szCs w:val="24"/>
        </w:rPr>
        <w:t xml:space="preserve">. </w:t>
      </w:r>
      <w:r w:rsidR="00223753" w:rsidRPr="005458ED">
        <w:rPr>
          <w:rFonts w:ascii="Arial" w:hAnsi="Arial" w:cs="Arial"/>
          <w:iCs/>
          <w:szCs w:val="24"/>
        </w:rPr>
        <w:t xml:space="preserve"> </w:t>
      </w:r>
      <w:r w:rsidR="00223753" w:rsidRPr="005458ED">
        <w:rPr>
          <w:rFonts w:ascii="Arial" w:hAnsi="Arial" w:cs="Arial"/>
          <w:szCs w:val="24"/>
        </w:rPr>
        <w:t>The Fact Sheets</w:t>
      </w:r>
      <w:r>
        <w:rPr>
          <w:rFonts w:ascii="Arial" w:hAnsi="Arial" w:cs="Arial"/>
          <w:szCs w:val="24"/>
        </w:rPr>
        <w:t xml:space="preserve"> </w:t>
      </w:r>
      <w:r w:rsidR="00223753" w:rsidRPr="005458ED">
        <w:rPr>
          <w:rFonts w:ascii="Arial" w:hAnsi="Arial" w:cs="Arial"/>
          <w:szCs w:val="24"/>
        </w:rPr>
        <w:t xml:space="preserve">outline the specific benefits being provided </w:t>
      </w:r>
      <w:r w:rsidR="00223753">
        <w:rPr>
          <w:rFonts w:ascii="Arial" w:hAnsi="Arial" w:cs="Arial"/>
          <w:szCs w:val="24"/>
        </w:rPr>
        <w:t>through</w:t>
      </w:r>
      <w:r w:rsidR="00223753" w:rsidRPr="005458ED">
        <w:rPr>
          <w:rFonts w:ascii="Arial" w:hAnsi="Arial" w:cs="Arial"/>
          <w:szCs w:val="24"/>
        </w:rPr>
        <w:t xml:space="preserve"> the Settlement</w:t>
      </w:r>
      <w:r w:rsidR="00223753">
        <w:rPr>
          <w:rFonts w:ascii="Arial" w:hAnsi="Arial" w:cs="Arial"/>
          <w:szCs w:val="24"/>
        </w:rPr>
        <w:t xml:space="preserve">, including </w:t>
      </w:r>
      <w:r w:rsidR="00223753" w:rsidRPr="005458ED">
        <w:rPr>
          <w:rFonts w:ascii="Arial" w:hAnsi="Arial" w:cs="Arial"/>
          <w:szCs w:val="24"/>
        </w:rPr>
        <w:t xml:space="preserve">answers to frequently asked questions raised by </w:t>
      </w:r>
      <w:r w:rsidR="0075079C">
        <w:rPr>
          <w:rFonts w:ascii="Arial" w:hAnsi="Arial" w:cs="Arial"/>
          <w:szCs w:val="24"/>
        </w:rPr>
        <w:t xml:space="preserve">a range of </w:t>
      </w:r>
      <w:r w:rsidR="00223753" w:rsidRPr="005458ED">
        <w:rPr>
          <w:rFonts w:ascii="Arial" w:hAnsi="Arial" w:cs="Arial"/>
          <w:szCs w:val="24"/>
        </w:rPr>
        <w:t>stakeholder groups</w:t>
      </w:r>
      <w:r w:rsidR="00223753">
        <w:rPr>
          <w:rFonts w:ascii="Arial" w:hAnsi="Arial" w:cs="Arial"/>
          <w:szCs w:val="24"/>
        </w:rPr>
        <w:t xml:space="preserve"> during consultations</w:t>
      </w:r>
      <w:r w:rsidR="003B3367">
        <w:rPr>
          <w:rFonts w:ascii="Arial" w:hAnsi="Arial" w:cs="Arial"/>
          <w:szCs w:val="24"/>
        </w:rPr>
        <w:t>. T</w:t>
      </w:r>
      <w:r w:rsidR="00840FA2" w:rsidRPr="005458ED">
        <w:rPr>
          <w:rFonts w:ascii="Arial" w:hAnsi="Arial" w:cs="Arial"/>
          <w:szCs w:val="24"/>
        </w:rPr>
        <w:t xml:space="preserve">he </w:t>
      </w:r>
      <w:r w:rsidR="000D454A">
        <w:rPr>
          <w:rFonts w:ascii="Arial" w:hAnsi="Arial" w:cs="Arial"/>
          <w:szCs w:val="24"/>
        </w:rPr>
        <w:t xml:space="preserve">latest version of the </w:t>
      </w:r>
      <w:r w:rsidR="00840FA2" w:rsidRPr="005458ED">
        <w:rPr>
          <w:rFonts w:ascii="Arial" w:hAnsi="Arial" w:cs="Arial"/>
          <w:szCs w:val="24"/>
        </w:rPr>
        <w:t>Fact Sheets</w:t>
      </w:r>
      <w:r w:rsidR="000D454A">
        <w:rPr>
          <w:rFonts w:ascii="Arial" w:hAnsi="Arial" w:cs="Arial"/>
          <w:szCs w:val="24"/>
        </w:rPr>
        <w:t xml:space="preserve"> (June 2016)</w:t>
      </w:r>
      <w:r w:rsidR="003B3367">
        <w:rPr>
          <w:rFonts w:ascii="Arial" w:hAnsi="Arial" w:cs="Arial"/>
          <w:szCs w:val="24"/>
        </w:rPr>
        <w:t xml:space="preserve"> </w:t>
      </w:r>
      <w:r w:rsidR="005D39B1">
        <w:rPr>
          <w:rFonts w:ascii="Arial" w:hAnsi="Arial" w:cs="Arial"/>
          <w:szCs w:val="24"/>
        </w:rPr>
        <w:t>will be</w:t>
      </w:r>
      <w:r w:rsidR="000D454A">
        <w:rPr>
          <w:rFonts w:ascii="Arial" w:hAnsi="Arial" w:cs="Arial"/>
          <w:szCs w:val="24"/>
        </w:rPr>
        <w:t xml:space="preserve"> </w:t>
      </w:r>
      <w:r w:rsidR="003B3367">
        <w:rPr>
          <w:rFonts w:ascii="Arial" w:hAnsi="Arial" w:cs="Arial"/>
          <w:szCs w:val="24"/>
        </w:rPr>
        <w:t>available on the DPC website</w:t>
      </w:r>
      <w:r w:rsidR="005D39B1">
        <w:rPr>
          <w:rFonts w:ascii="Arial" w:hAnsi="Arial" w:cs="Arial"/>
          <w:szCs w:val="24"/>
        </w:rPr>
        <w:t xml:space="preserve"> in the coming week</w:t>
      </w:r>
      <w:r w:rsidR="003B3367">
        <w:rPr>
          <w:rFonts w:ascii="Arial" w:hAnsi="Arial" w:cs="Arial"/>
          <w:szCs w:val="24"/>
        </w:rPr>
        <w:t xml:space="preserve">. </w:t>
      </w:r>
    </w:p>
    <w:p w:rsidR="00223753" w:rsidRPr="005458ED" w:rsidRDefault="00223753" w:rsidP="006804E2">
      <w:pPr>
        <w:spacing w:after="0"/>
        <w:jc w:val="both"/>
        <w:rPr>
          <w:rFonts w:ascii="Arial" w:hAnsi="Arial" w:cs="Arial"/>
          <w:szCs w:val="24"/>
        </w:rPr>
      </w:pPr>
    </w:p>
    <w:p w:rsidR="00223753" w:rsidRDefault="00223753" w:rsidP="006804E2">
      <w:pPr>
        <w:spacing w:after="0"/>
        <w:jc w:val="both"/>
        <w:rPr>
          <w:rFonts w:ascii="Arial" w:hAnsi="Arial" w:cs="Arial"/>
          <w:szCs w:val="24"/>
        </w:rPr>
      </w:pPr>
      <w:r w:rsidRPr="005458ED">
        <w:rPr>
          <w:rFonts w:ascii="Arial" w:hAnsi="Arial" w:cs="Arial"/>
          <w:szCs w:val="24"/>
        </w:rPr>
        <w:t xml:space="preserve">Fact Sheets can be </w:t>
      </w:r>
      <w:r w:rsidR="008A204D">
        <w:rPr>
          <w:rFonts w:ascii="Arial" w:hAnsi="Arial" w:cs="Arial"/>
          <w:szCs w:val="24"/>
        </w:rPr>
        <w:t xml:space="preserve">copied and </w:t>
      </w:r>
      <w:r w:rsidR="00FC6A52">
        <w:rPr>
          <w:rFonts w:ascii="Arial" w:hAnsi="Arial" w:cs="Arial"/>
          <w:szCs w:val="24"/>
        </w:rPr>
        <w:t xml:space="preserve">distributed by </w:t>
      </w:r>
      <w:r w:rsidR="005D39B1">
        <w:rPr>
          <w:rFonts w:ascii="Arial" w:hAnsi="Arial" w:cs="Arial"/>
          <w:szCs w:val="24"/>
        </w:rPr>
        <w:t>any stakeholders</w:t>
      </w:r>
      <w:r w:rsidRPr="005458ED">
        <w:rPr>
          <w:rFonts w:ascii="Arial" w:hAnsi="Arial" w:cs="Arial"/>
          <w:szCs w:val="24"/>
        </w:rPr>
        <w:t xml:space="preserve"> to </w:t>
      </w:r>
      <w:r w:rsidR="005D39B1">
        <w:rPr>
          <w:rFonts w:ascii="Arial" w:hAnsi="Arial" w:cs="Arial"/>
          <w:szCs w:val="24"/>
        </w:rPr>
        <w:t>interested community members</w:t>
      </w:r>
      <w:r w:rsidRPr="005458ED">
        <w:rPr>
          <w:rFonts w:ascii="Arial" w:hAnsi="Arial" w:cs="Arial"/>
          <w:szCs w:val="24"/>
        </w:rPr>
        <w:t xml:space="preserve"> when they seek information about the Settlement. </w:t>
      </w:r>
    </w:p>
    <w:p w:rsidR="008A204D" w:rsidRDefault="008A204D" w:rsidP="006804E2">
      <w:pPr>
        <w:spacing w:after="0"/>
        <w:jc w:val="both"/>
        <w:rPr>
          <w:rFonts w:ascii="Arial" w:hAnsi="Arial" w:cs="Arial"/>
          <w:szCs w:val="24"/>
        </w:rPr>
      </w:pPr>
    </w:p>
    <w:p w:rsidR="00223753" w:rsidRPr="006804E2" w:rsidRDefault="006804E2" w:rsidP="006804E2">
      <w:pPr>
        <w:spacing w:after="0"/>
        <w:jc w:val="both"/>
        <w:rPr>
          <w:rFonts w:ascii="Arial" w:hAnsi="Arial" w:cs="Arial"/>
          <w:szCs w:val="24"/>
        </w:rPr>
      </w:pPr>
      <w:r>
        <w:rPr>
          <w:rFonts w:ascii="Arial" w:hAnsi="Arial" w:cs="Arial"/>
          <w:color w:val="026694"/>
          <w:sz w:val="34"/>
          <w:szCs w:val="34"/>
        </w:rPr>
        <w:t>Online information about the South West Settlement</w:t>
      </w:r>
    </w:p>
    <w:p w:rsidR="00223753" w:rsidRDefault="00223753" w:rsidP="006804E2">
      <w:pPr>
        <w:spacing w:after="0"/>
        <w:jc w:val="both"/>
        <w:rPr>
          <w:rFonts w:ascii="Arial" w:hAnsi="Arial" w:cs="Arial"/>
        </w:rPr>
      </w:pPr>
    </w:p>
    <w:p w:rsidR="00805D16" w:rsidRDefault="0010025E" w:rsidP="006804E2">
      <w:pPr>
        <w:spacing w:after="0"/>
        <w:jc w:val="both"/>
        <w:rPr>
          <w:rFonts w:ascii="Arial" w:hAnsi="Arial" w:cs="Arial"/>
        </w:rPr>
      </w:pPr>
      <w:r>
        <w:rPr>
          <w:rFonts w:ascii="Arial" w:hAnsi="Arial" w:cs="Arial"/>
        </w:rPr>
        <w:t xml:space="preserve">All relevant documentation </w:t>
      </w:r>
      <w:r w:rsidR="0075079C">
        <w:rPr>
          <w:rFonts w:ascii="Arial" w:hAnsi="Arial" w:cs="Arial"/>
        </w:rPr>
        <w:t>about the Settlement</w:t>
      </w:r>
      <w:r>
        <w:rPr>
          <w:rFonts w:ascii="Arial" w:hAnsi="Arial" w:cs="Arial"/>
        </w:rPr>
        <w:t xml:space="preserve"> is available on the </w:t>
      </w:r>
      <w:r w:rsidR="00223753">
        <w:rPr>
          <w:rFonts w:ascii="Arial" w:hAnsi="Arial" w:cs="Arial"/>
        </w:rPr>
        <w:t>DPC</w:t>
      </w:r>
      <w:r>
        <w:rPr>
          <w:rFonts w:ascii="Arial" w:hAnsi="Arial" w:cs="Arial"/>
        </w:rPr>
        <w:t xml:space="preserve"> website: </w:t>
      </w:r>
      <w:hyperlink r:id="rId19" w:history="1">
        <w:r w:rsidRPr="00351D70">
          <w:rPr>
            <w:rStyle w:val="Hyperlink"/>
            <w:rFonts w:ascii="Arial" w:hAnsi="Arial" w:cs="Arial"/>
          </w:rPr>
          <w:t>www.dpc.wa.gov.au</w:t>
        </w:r>
      </w:hyperlink>
      <w:r w:rsidR="0075079C">
        <w:rPr>
          <w:rStyle w:val="Hyperlink"/>
          <w:rFonts w:ascii="Arial" w:hAnsi="Arial" w:cs="Arial"/>
        </w:rPr>
        <w:t>.</w:t>
      </w:r>
      <w:r>
        <w:rPr>
          <w:rFonts w:ascii="Arial" w:hAnsi="Arial" w:cs="Arial"/>
        </w:rPr>
        <w:t xml:space="preserve"> </w:t>
      </w:r>
    </w:p>
    <w:p w:rsidR="00546229" w:rsidRDefault="00546229" w:rsidP="006804E2">
      <w:pPr>
        <w:spacing w:after="0"/>
        <w:jc w:val="both"/>
        <w:rPr>
          <w:rFonts w:ascii="Arial" w:hAnsi="Arial" w:cs="Arial"/>
        </w:rPr>
      </w:pPr>
    </w:p>
    <w:p w:rsidR="0010025E" w:rsidRPr="00750DAD" w:rsidRDefault="0075079C" w:rsidP="006804E2">
      <w:pPr>
        <w:rPr>
          <w:rFonts w:ascii="Arial" w:hAnsi="Arial" w:cs="Arial"/>
          <w:color w:val="FF0000"/>
        </w:rPr>
      </w:pPr>
      <w:r>
        <w:rPr>
          <w:rFonts w:ascii="Arial" w:hAnsi="Arial" w:cs="Arial"/>
        </w:rPr>
        <w:t xml:space="preserve">Information </w:t>
      </w:r>
      <w:r w:rsidR="0010025E">
        <w:rPr>
          <w:rFonts w:ascii="Arial" w:hAnsi="Arial" w:cs="Arial"/>
        </w:rPr>
        <w:t>includes:</w:t>
      </w:r>
    </w:p>
    <w:p w:rsidR="0010025E" w:rsidRDefault="0010025E" w:rsidP="006804E2">
      <w:pPr>
        <w:pStyle w:val="ListParagraph"/>
        <w:numPr>
          <w:ilvl w:val="0"/>
          <w:numId w:val="4"/>
        </w:numPr>
        <w:rPr>
          <w:rFonts w:ascii="Arial" w:hAnsi="Arial" w:cs="Arial"/>
        </w:rPr>
      </w:pPr>
      <w:r>
        <w:rPr>
          <w:rFonts w:ascii="Arial" w:hAnsi="Arial" w:cs="Arial"/>
        </w:rPr>
        <w:t>Copies of each of the 6 executed ILUAs;</w:t>
      </w:r>
    </w:p>
    <w:p w:rsidR="0010025E" w:rsidRDefault="0010025E" w:rsidP="006804E2">
      <w:pPr>
        <w:pStyle w:val="ListParagraph"/>
        <w:numPr>
          <w:ilvl w:val="0"/>
          <w:numId w:val="4"/>
        </w:numPr>
        <w:rPr>
          <w:rFonts w:ascii="Arial" w:hAnsi="Arial" w:cs="Arial"/>
        </w:rPr>
      </w:pPr>
      <w:r>
        <w:rPr>
          <w:rFonts w:ascii="Arial" w:hAnsi="Arial" w:cs="Arial"/>
        </w:rPr>
        <w:t>Maps of the relevant ILUA area boundaries;</w:t>
      </w:r>
    </w:p>
    <w:p w:rsidR="0010025E" w:rsidRDefault="00840FA2" w:rsidP="006804E2">
      <w:pPr>
        <w:pStyle w:val="ListParagraph"/>
        <w:numPr>
          <w:ilvl w:val="0"/>
          <w:numId w:val="4"/>
        </w:numPr>
        <w:rPr>
          <w:rFonts w:ascii="Arial" w:hAnsi="Arial" w:cs="Arial"/>
        </w:rPr>
      </w:pPr>
      <w:r>
        <w:rPr>
          <w:rFonts w:ascii="Arial" w:hAnsi="Arial" w:cs="Arial"/>
        </w:rPr>
        <w:t>Technical d</w:t>
      </w:r>
      <w:r w:rsidR="0010025E">
        <w:rPr>
          <w:rFonts w:ascii="Arial" w:hAnsi="Arial" w:cs="Arial"/>
        </w:rPr>
        <w:t>escription</w:t>
      </w:r>
      <w:r>
        <w:rPr>
          <w:rFonts w:ascii="Arial" w:hAnsi="Arial" w:cs="Arial"/>
        </w:rPr>
        <w:t>s</w:t>
      </w:r>
      <w:r w:rsidR="0010025E">
        <w:rPr>
          <w:rFonts w:ascii="Arial" w:hAnsi="Arial" w:cs="Arial"/>
        </w:rPr>
        <w:t xml:space="preserve"> of the 6 ILUA boundaries;</w:t>
      </w:r>
    </w:p>
    <w:p w:rsidR="00805D16" w:rsidRDefault="0010025E" w:rsidP="006804E2">
      <w:pPr>
        <w:pStyle w:val="ListParagraph"/>
        <w:numPr>
          <w:ilvl w:val="0"/>
          <w:numId w:val="4"/>
        </w:numPr>
        <w:rPr>
          <w:rFonts w:ascii="Arial" w:hAnsi="Arial" w:cs="Arial"/>
        </w:rPr>
      </w:pPr>
      <w:r>
        <w:rPr>
          <w:rFonts w:ascii="Arial" w:hAnsi="Arial" w:cs="Arial"/>
        </w:rPr>
        <w:t>Template Noongar Standard Heritage Agreements</w:t>
      </w:r>
      <w:r w:rsidR="00840FA2">
        <w:rPr>
          <w:rFonts w:ascii="Arial" w:hAnsi="Arial" w:cs="Arial"/>
        </w:rPr>
        <w:t xml:space="preserve"> for each ILUA area</w:t>
      </w:r>
      <w:r w:rsidR="006F21E7">
        <w:rPr>
          <w:rFonts w:ascii="Arial" w:hAnsi="Arial" w:cs="Arial"/>
        </w:rPr>
        <w:t xml:space="preserve"> and</w:t>
      </w:r>
      <w:r w:rsidR="00C74DC6">
        <w:rPr>
          <w:rFonts w:ascii="Arial" w:hAnsi="Arial" w:cs="Arial"/>
        </w:rPr>
        <w:t xml:space="preserve"> key NSHA steps</w:t>
      </w:r>
      <w:r>
        <w:rPr>
          <w:rFonts w:ascii="Arial" w:hAnsi="Arial" w:cs="Arial"/>
        </w:rPr>
        <w:t xml:space="preserve">; </w:t>
      </w:r>
    </w:p>
    <w:p w:rsidR="00BD03C9" w:rsidRDefault="00BD03C9" w:rsidP="00BD03C9">
      <w:pPr>
        <w:pStyle w:val="ListParagraph"/>
        <w:numPr>
          <w:ilvl w:val="0"/>
          <w:numId w:val="4"/>
        </w:numPr>
        <w:rPr>
          <w:rFonts w:ascii="Arial" w:hAnsi="Arial" w:cs="Arial"/>
        </w:rPr>
      </w:pPr>
      <w:r>
        <w:rPr>
          <w:rFonts w:ascii="Arial" w:hAnsi="Arial" w:cs="Arial"/>
        </w:rPr>
        <w:t>Aboriginal Heritage Due Diligence Guidelines;</w:t>
      </w:r>
    </w:p>
    <w:p w:rsidR="006F21E7" w:rsidRPr="006F21E7" w:rsidRDefault="006F21E7" w:rsidP="00750DAD">
      <w:pPr>
        <w:pStyle w:val="ListParagraph"/>
        <w:numPr>
          <w:ilvl w:val="0"/>
          <w:numId w:val="4"/>
        </w:numPr>
        <w:shd w:val="clear" w:color="auto" w:fill="FFFFFF"/>
        <w:jc w:val="both"/>
        <w:rPr>
          <w:rFonts w:ascii="Arial" w:hAnsi="Arial" w:cs="Arial"/>
        </w:rPr>
      </w:pPr>
      <w:r>
        <w:rPr>
          <w:rFonts w:ascii="Arial" w:hAnsi="Arial" w:cs="Arial"/>
        </w:rPr>
        <w:t>An Information</w:t>
      </w:r>
      <w:r w:rsidR="00C46AFA">
        <w:rPr>
          <w:rFonts w:ascii="Arial" w:hAnsi="Arial" w:cs="Arial"/>
        </w:rPr>
        <w:t xml:space="preserve"> P</w:t>
      </w:r>
      <w:r>
        <w:rPr>
          <w:rFonts w:ascii="Arial" w:hAnsi="Arial" w:cs="Arial"/>
        </w:rPr>
        <w:t xml:space="preserve">ack </w:t>
      </w:r>
      <w:r w:rsidR="00C46AFA">
        <w:rPr>
          <w:rFonts w:ascii="Arial" w:hAnsi="Arial" w:cs="Arial"/>
        </w:rPr>
        <w:t>on the</w:t>
      </w:r>
      <w:r w:rsidRPr="006F21E7">
        <w:rPr>
          <w:rFonts w:ascii="Arial" w:hAnsi="Arial" w:cs="Arial"/>
        </w:rPr>
        <w:t xml:space="preserve"> </w:t>
      </w:r>
      <w:r w:rsidR="00750DAD" w:rsidRPr="006F21E7">
        <w:rPr>
          <w:rFonts w:ascii="Arial" w:hAnsi="Arial" w:cs="Arial"/>
          <w:i/>
          <w:iCs/>
        </w:rPr>
        <w:t>Noongar (Koorah, Nitja, Boordahwan) (Past, Present, Future) Recognition Act 2016</w:t>
      </w:r>
      <w:r w:rsidR="00386A19">
        <w:rPr>
          <w:rFonts w:ascii="Arial" w:hAnsi="Arial" w:cs="Arial"/>
          <w:iCs/>
        </w:rPr>
        <w:t>;</w:t>
      </w:r>
    </w:p>
    <w:p w:rsidR="006F21E7" w:rsidRPr="006F21E7" w:rsidRDefault="00BD03C9" w:rsidP="00750DAD">
      <w:pPr>
        <w:pStyle w:val="ListParagraph"/>
        <w:numPr>
          <w:ilvl w:val="0"/>
          <w:numId w:val="4"/>
        </w:numPr>
        <w:shd w:val="clear" w:color="auto" w:fill="FFFFFF"/>
        <w:jc w:val="both"/>
        <w:rPr>
          <w:rFonts w:ascii="Arial" w:hAnsi="Arial" w:cs="Arial"/>
        </w:rPr>
      </w:pPr>
      <w:r>
        <w:rPr>
          <w:rFonts w:ascii="Arial" w:hAnsi="Arial" w:cs="Arial"/>
        </w:rPr>
        <w:t>Information on t</w:t>
      </w:r>
      <w:r w:rsidR="006F21E7" w:rsidRPr="006F21E7">
        <w:rPr>
          <w:rFonts w:ascii="Arial" w:hAnsi="Arial" w:cs="Arial"/>
        </w:rPr>
        <w:t xml:space="preserve">he </w:t>
      </w:r>
      <w:r w:rsidR="00750DAD" w:rsidRPr="006F21E7">
        <w:rPr>
          <w:rFonts w:ascii="Arial" w:hAnsi="Arial" w:cs="Arial"/>
          <w:i/>
          <w:iCs/>
        </w:rPr>
        <w:t>Land Administration (South West Native title Settlement) Act 2016</w:t>
      </w:r>
      <w:r w:rsidR="006A1779">
        <w:rPr>
          <w:rFonts w:ascii="Arial" w:hAnsi="Arial" w:cs="Arial"/>
          <w:iCs/>
        </w:rPr>
        <w:t>;</w:t>
      </w:r>
    </w:p>
    <w:p w:rsidR="00C46AFA" w:rsidRPr="00BD03C9" w:rsidRDefault="00BD03C9" w:rsidP="00C46AFA">
      <w:pPr>
        <w:pStyle w:val="ListParagraph"/>
        <w:numPr>
          <w:ilvl w:val="0"/>
          <w:numId w:val="4"/>
        </w:numPr>
        <w:shd w:val="clear" w:color="auto" w:fill="FFFFFF"/>
        <w:jc w:val="both"/>
        <w:rPr>
          <w:rFonts w:ascii="Arial" w:hAnsi="Arial" w:cs="Arial"/>
        </w:rPr>
      </w:pPr>
      <w:r>
        <w:rPr>
          <w:rFonts w:ascii="Arial" w:hAnsi="Arial" w:cs="Arial"/>
          <w:iCs/>
        </w:rPr>
        <w:t>Information on the</w:t>
      </w:r>
      <w:r w:rsidR="006F21E7" w:rsidRPr="00BD03C9">
        <w:rPr>
          <w:rFonts w:ascii="Arial" w:hAnsi="Arial" w:cs="Arial"/>
          <w:iCs/>
        </w:rPr>
        <w:t xml:space="preserve"> </w:t>
      </w:r>
      <w:r w:rsidR="00750DAD" w:rsidRPr="00BD03C9">
        <w:rPr>
          <w:rFonts w:ascii="Arial" w:hAnsi="Arial" w:cs="Arial"/>
          <w:i/>
          <w:iCs/>
        </w:rPr>
        <w:t>Metropolitan Water Supply, Sewerage, and Drainage Amendment By-Laws 2016</w:t>
      </w:r>
      <w:r w:rsidR="00750DAD" w:rsidRPr="00BD03C9">
        <w:rPr>
          <w:rFonts w:ascii="Arial" w:hAnsi="Arial" w:cs="Arial"/>
        </w:rPr>
        <w:t xml:space="preserve"> and the </w:t>
      </w:r>
      <w:r w:rsidR="00750DAD" w:rsidRPr="00BD03C9">
        <w:rPr>
          <w:rFonts w:ascii="Arial" w:hAnsi="Arial" w:cs="Arial"/>
          <w:i/>
          <w:iCs/>
        </w:rPr>
        <w:t>Country Areas Wat</w:t>
      </w:r>
      <w:r w:rsidR="00386A19">
        <w:rPr>
          <w:rFonts w:ascii="Arial" w:hAnsi="Arial" w:cs="Arial"/>
          <w:i/>
          <w:iCs/>
        </w:rPr>
        <w:t>er Supply Amendment By-Laws 2016</w:t>
      </w:r>
      <w:r w:rsidR="00386A19" w:rsidRPr="00386A19">
        <w:rPr>
          <w:rFonts w:ascii="Arial" w:hAnsi="Arial" w:cs="Arial"/>
          <w:iCs/>
        </w:rPr>
        <w:t>;</w:t>
      </w:r>
    </w:p>
    <w:p w:rsidR="0010025E" w:rsidRPr="007A7036" w:rsidRDefault="0010025E" w:rsidP="006804E2">
      <w:pPr>
        <w:pStyle w:val="ListParagraph"/>
        <w:numPr>
          <w:ilvl w:val="0"/>
          <w:numId w:val="4"/>
        </w:numPr>
        <w:rPr>
          <w:rFonts w:ascii="Arial" w:hAnsi="Arial" w:cs="Arial"/>
        </w:rPr>
      </w:pPr>
      <w:r>
        <w:rPr>
          <w:rFonts w:ascii="Arial" w:hAnsi="Arial" w:cs="Arial"/>
        </w:rPr>
        <w:t>S</w:t>
      </w:r>
      <w:r w:rsidRPr="007A7036">
        <w:rPr>
          <w:rFonts w:ascii="Arial" w:hAnsi="Arial" w:cs="Arial"/>
        </w:rPr>
        <w:t>upporting information</w:t>
      </w:r>
      <w:r w:rsidR="00373C60">
        <w:rPr>
          <w:rFonts w:ascii="Arial" w:hAnsi="Arial" w:cs="Arial"/>
        </w:rPr>
        <w:t>,</w:t>
      </w:r>
      <w:r w:rsidRPr="007A7036">
        <w:rPr>
          <w:rFonts w:ascii="Arial" w:hAnsi="Arial" w:cs="Arial"/>
        </w:rPr>
        <w:t xml:space="preserve"> such as </w:t>
      </w:r>
      <w:r w:rsidR="00373C60">
        <w:rPr>
          <w:rFonts w:ascii="Arial" w:hAnsi="Arial" w:cs="Arial"/>
        </w:rPr>
        <w:t>the</w:t>
      </w:r>
      <w:r w:rsidRPr="007A7036">
        <w:rPr>
          <w:rFonts w:ascii="Arial" w:hAnsi="Arial" w:cs="Arial"/>
        </w:rPr>
        <w:t xml:space="preserve"> Fact Sheets</w:t>
      </w:r>
      <w:r w:rsidR="00373C60">
        <w:rPr>
          <w:rFonts w:ascii="Arial" w:hAnsi="Arial" w:cs="Arial"/>
        </w:rPr>
        <w:t>,</w:t>
      </w:r>
      <w:r w:rsidRPr="007A7036">
        <w:rPr>
          <w:rFonts w:ascii="Arial" w:hAnsi="Arial" w:cs="Arial"/>
        </w:rPr>
        <w:t xml:space="preserve"> </w:t>
      </w:r>
      <w:r>
        <w:rPr>
          <w:rFonts w:ascii="Arial" w:hAnsi="Arial" w:cs="Arial"/>
        </w:rPr>
        <w:t>that</w:t>
      </w:r>
      <w:r w:rsidRPr="007A7036">
        <w:rPr>
          <w:rFonts w:ascii="Arial" w:hAnsi="Arial" w:cs="Arial"/>
        </w:rPr>
        <w:t xml:space="preserve"> may assist in understanding of the Settlement.</w:t>
      </w:r>
    </w:p>
    <w:p w:rsidR="00373C60" w:rsidRDefault="00373C60" w:rsidP="006804E2">
      <w:pPr>
        <w:spacing w:after="0"/>
        <w:jc w:val="both"/>
        <w:rPr>
          <w:rFonts w:ascii="Arial" w:eastAsia="Calibri" w:hAnsi="Arial" w:cs="Arial"/>
        </w:rPr>
      </w:pPr>
      <w:r>
        <w:rPr>
          <w:rFonts w:ascii="Arial" w:eastAsia="Calibri" w:hAnsi="Arial" w:cs="Arial"/>
        </w:rPr>
        <w:t>DPC</w:t>
      </w:r>
      <w:r w:rsidR="007438D6">
        <w:rPr>
          <w:rFonts w:ascii="Arial" w:eastAsia="Calibri" w:hAnsi="Arial" w:cs="Arial"/>
        </w:rPr>
        <w:t>’s South West Settlement Implementation Unit</w:t>
      </w:r>
      <w:r w:rsidR="006804E2">
        <w:rPr>
          <w:rFonts w:ascii="Arial" w:eastAsia="Calibri" w:hAnsi="Arial" w:cs="Arial"/>
        </w:rPr>
        <w:t xml:space="preserve"> can</w:t>
      </w:r>
      <w:r>
        <w:rPr>
          <w:rFonts w:ascii="Arial" w:eastAsia="Calibri" w:hAnsi="Arial" w:cs="Arial"/>
        </w:rPr>
        <w:t xml:space="preserve"> be </w:t>
      </w:r>
      <w:r w:rsidRPr="007603AD">
        <w:rPr>
          <w:rFonts w:ascii="Arial" w:eastAsia="Calibri" w:hAnsi="Arial" w:cs="Arial"/>
        </w:rPr>
        <w:t>contact</w:t>
      </w:r>
      <w:r>
        <w:rPr>
          <w:rFonts w:ascii="Arial" w:eastAsia="Calibri" w:hAnsi="Arial" w:cs="Arial"/>
        </w:rPr>
        <w:t>ed</w:t>
      </w:r>
      <w:r w:rsidRPr="007603AD">
        <w:rPr>
          <w:rFonts w:ascii="Arial" w:eastAsia="Calibri" w:hAnsi="Arial" w:cs="Arial"/>
        </w:rPr>
        <w:t xml:space="preserve"> directly: </w:t>
      </w:r>
    </w:p>
    <w:p w:rsidR="00750DAD" w:rsidRPr="00530B00" w:rsidRDefault="00373C60" w:rsidP="00530B00">
      <w:pPr>
        <w:spacing w:after="0"/>
        <w:jc w:val="both"/>
        <w:rPr>
          <w:rFonts w:ascii="Arial" w:eastAsia="Calibri" w:hAnsi="Arial" w:cs="Arial"/>
        </w:rPr>
      </w:pPr>
      <w:r w:rsidRPr="007603AD">
        <w:rPr>
          <w:rFonts w:ascii="Arial" w:eastAsia="Calibri" w:hAnsi="Arial" w:cs="Arial"/>
        </w:rPr>
        <w:t>Email:</w:t>
      </w:r>
      <w:r w:rsidR="006804E2">
        <w:rPr>
          <w:rFonts w:ascii="Arial" w:eastAsia="Calibri" w:hAnsi="Arial" w:cs="Arial"/>
        </w:rPr>
        <w:t xml:space="preserve"> </w:t>
      </w:r>
      <w:r w:rsidR="006804E2">
        <w:rPr>
          <w:rFonts w:ascii="Arial" w:eastAsia="Calibri" w:hAnsi="Arial" w:cs="Arial"/>
        </w:rPr>
        <w:tab/>
      </w:r>
      <w:hyperlink r:id="rId20" w:history="1">
        <w:r w:rsidR="006804E2" w:rsidRPr="006804E2">
          <w:rPr>
            <w:rStyle w:val="Hyperlink"/>
            <w:rFonts w:ascii="Arial" w:eastAsia="Calibri" w:hAnsi="Arial" w:cs="Arial"/>
          </w:rPr>
          <w:t>South West Settlement Implementation Unit</w:t>
        </w:r>
      </w:hyperlink>
      <w:r w:rsidR="006A1779">
        <w:rPr>
          <w:rStyle w:val="Hyperlink"/>
          <w:rFonts w:ascii="Arial" w:eastAsia="Calibri" w:hAnsi="Arial" w:cs="Arial"/>
        </w:rPr>
        <w:tab/>
      </w:r>
      <w:r w:rsidR="006A1779">
        <w:t xml:space="preserve">       </w:t>
      </w:r>
      <w:r w:rsidR="006A1779" w:rsidRPr="006A1779">
        <w:rPr>
          <w:rFonts w:ascii="Arial" w:eastAsia="Calibri" w:hAnsi="Arial" w:cs="Arial"/>
        </w:rPr>
        <w:t>P</w:t>
      </w:r>
      <w:r w:rsidR="006804E2">
        <w:rPr>
          <w:rFonts w:ascii="Arial" w:eastAsia="Calibri" w:hAnsi="Arial" w:cs="Arial"/>
        </w:rPr>
        <w:t>h</w:t>
      </w:r>
      <w:r w:rsidR="006A1779">
        <w:rPr>
          <w:rFonts w:ascii="Arial" w:eastAsia="Calibri" w:hAnsi="Arial" w:cs="Arial"/>
        </w:rPr>
        <w:t xml:space="preserve">one:  </w:t>
      </w:r>
      <w:r w:rsidRPr="007603AD">
        <w:rPr>
          <w:rFonts w:ascii="Arial" w:eastAsia="Calibri" w:hAnsi="Arial" w:cs="Arial"/>
        </w:rPr>
        <w:t>08 6552 6191</w:t>
      </w:r>
    </w:p>
    <w:sectPr w:rsidR="00750DAD" w:rsidRPr="00530B00" w:rsidSect="00DC6852">
      <w:headerReference w:type="default" r:id="rId21"/>
      <w:footerReference w:type="default" r:id="rId22"/>
      <w:head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F97" w:rsidRDefault="004F7F97" w:rsidP="009C1F7F">
      <w:pPr>
        <w:spacing w:after="0" w:line="240" w:lineRule="auto"/>
      </w:pPr>
      <w:r>
        <w:separator/>
      </w:r>
    </w:p>
  </w:endnote>
  <w:endnote w:type="continuationSeparator" w:id="0">
    <w:p w:rsidR="004F7F97" w:rsidRDefault="004F7F97" w:rsidP="009C1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yriadPro-Sem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67084"/>
      <w:docPartObj>
        <w:docPartGallery w:val="Page Numbers (Bottom of Page)"/>
        <w:docPartUnique/>
      </w:docPartObj>
    </w:sdtPr>
    <w:sdtEndPr>
      <w:rPr>
        <w:noProof/>
      </w:rPr>
    </w:sdtEndPr>
    <w:sdtContent>
      <w:p w:rsidR="00C74DC6" w:rsidRDefault="00C74DC6">
        <w:pPr>
          <w:pStyle w:val="Footer"/>
          <w:jc w:val="center"/>
        </w:pPr>
        <w:r>
          <w:fldChar w:fldCharType="begin"/>
        </w:r>
        <w:r>
          <w:instrText xml:space="preserve"> PAGE  \* Arabic  \* MERGEFORMAT </w:instrText>
        </w:r>
        <w:r>
          <w:fldChar w:fldCharType="separate"/>
        </w:r>
        <w:r w:rsidR="003E5AC6">
          <w:rPr>
            <w:noProof/>
          </w:rPr>
          <w:t>9</w:t>
        </w:r>
        <w:r>
          <w:fldChar w:fldCharType="end"/>
        </w:r>
      </w:p>
    </w:sdtContent>
  </w:sdt>
  <w:p w:rsidR="00C74DC6" w:rsidRDefault="00C74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F97" w:rsidRDefault="004F7F97" w:rsidP="009C1F7F">
      <w:pPr>
        <w:spacing w:after="0" w:line="240" w:lineRule="auto"/>
      </w:pPr>
      <w:r>
        <w:separator/>
      </w:r>
    </w:p>
  </w:footnote>
  <w:footnote w:type="continuationSeparator" w:id="0">
    <w:p w:rsidR="004F7F97" w:rsidRDefault="004F7F97" w:rsidP="009C1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C6" w:rsidRDefault="00C74DC6" w:rsidP="00DC6852">
    <w:pPr>
      <w:pStyle w:val="Header"/>
      <w:jc w:val="center"/>
    </w:pPr>
    <w:r w:rsidRPr="00375E3E">
      <w:rPr>
        <w:rFonts w:eastAsia="Times New Roman"/>
        <w:b/>
        <w:noProof/>
        <w:lang w:eastAsia="en-AU"/>
      </w:rPr>
      <w:drawing>
        <wp:inline distT="0" distB="0" distL="0" distR="0" wp14:anchorId="0268329E" wp14:editId="726A90F1">
          <wp:extent cx="4036423" cy="78377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3534" cy="787095"/>
                  </a:xfrm>
                  <a:prstGeom prst="rect">
                    <a:avLst/>
                  </a:prstGeom>
                </pic:spPr>
              </pic:pic>
            </a:graphicData>
          </a:graphic>
        </wp:inline>
      </w:drawing>
    </w:r>
  </w:p>
  <w:p w:rsidR="00C74DC6" w:rsidRDefault="00C74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C6" w:rsidRDefault="00C74DC6" w:rsidP="00DC6852">
    <w:pPr>
      <w:pStyle w:val="Header"/>
      <w:tabs>
        <w:tab w:val="clear" w:pos="4513"/>
        <w:tab w:val="clear" w:pos="9026"/>
        <w:tab w:val="left" w:pos="3684"/>
      </w:tabs>
      <w:jc w:val="center"/>
    </w:pPr>
    <w:r w:rsidRPr="00375E3E">
      <w:rPr>
        <w:rFonts w:eastAsia="Times New Roman"/>
        <w:b/>
        <w:noProof/>
        <w:lang w:eastAsia="en-AU"/>
      </w:rPr>
      <w:drawing>
        <wp:inline distT="0" distB="0" distL="0" distR="0" wp14:anchorId="7D475A92" wp14:editId="356A8EE6">
          <wp:extent cx="4040372" cy="861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3534" cy="864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F569A"/>
    <w:multiLevelType w:val="hybridMultilevel"/>
    <w:tmpl w:val="080ACD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3891FDB"/>
    <w:multiLevelType w:val="hybridMultilevel"/>
    <w:tmpl w:val="74F426EA"/>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 w15:restartNumberingAfterBreak="0">
    <w:nsid w:val="148D0A38"/>
    <w:multiLevelType w:val="hybridMultilevel"/>
    <w:tmpl w:val="71902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4405F5"/>
    <w:multiLevelType w:val="hybridMultilevel"/>
    <w:tmpl w:val="149ACC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033002"/>
    <w:multiLevelType w:val="multilevel"/>
    <w:tmpl w:val="CD88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96C3A"/>
    <w:multiLevelType w:val="multilevel"/>
    <w:tmpl w:val="9446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61096"/>
    <w:multiLevelType w:val="hybridMultilevel"/>
    <w:tmpl w:val="E00271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5F2314"/>
    <w:multiLevelType w:val="hybridMultilevel"/>
    <w:tmpl w:val="D8B65E32"/>
    <w:lvl w:ilvl="0" w:tplc="0C090001">
      <w:start w:val="1"/>
      <w:numFmt w:val="bullet"/>
      <w:lvlText w:val=""/>
      <w:lvlJc w:val="left"/>
      <w:pPr>
        <w:ind w:left="720" w:hanging="360"/>
      </w:pPr>
      <w:rPr>
        <w:rFonts w:ascii="Symbol" w:hAnsi="Symbol" w:hint="default"/>
        <w:b/>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15:restartNumberingAfterBreak="0">
    <w:nsid w:val="2E830217"/>
    <w:multiLevelType w:val="multilevel"/>
    <w:tmpl w:val="AAA8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74D36"/>
    <w:multiLevelType w:val="hybridMultilevel"/>
    <w:tmpl w:val="1CD4706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2B630EB"/>
    <w:multiLevelType w:val="hybridMultilevel"/>
    <w:tmpl w:val="92F069E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1" w15:restartNumberingAfterBreak="0">
    <w:nsid w:val="37E8767B"/>
    <w:multiLevelType w:val="hybridMultilevel"/>
    <w:tmpl w:val="3C644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CE607A"/>
    <w:multiLevelType w:val="hybridMultilevel"/>
    <w:tmpl w:val="CE88DF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335B04"/>
    <w:multiLevelType w:val="hybridMultilevel"/>
    <w:tmpl w:val="F33AC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74155A"/>
    <w:multiLevelType w:val="hybridMultilevel"/>
    <w:tmpl w:val="B17674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F6A7E9A"/>
    <w:multiLevelType w:val="hybridMultilevel"/>
    <w:tmpl w:val="88524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492E99"/>
    <w:multiLevelType w:val="hybridMultilevel"/>
    <w:tmpl w:val="D45C7AA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6C58E3"/>
    <w:multiLevelType w:val="multilevel"/>
    <w:tmpl w:val="84D2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290071"/>
    <w:multiLevelType w:val="multilevel"/>
    <w:tmpl w:val="54E6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476794"/>
    <w:multiLevelType w:val="hybridMultilevel"/>
    <w:tmpl w:val="BA0E539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0" w15:restartNumberingAfterBreak="0">
    <w:nsid w:val="5DC052C7"/>
    <w:multiLevelType w:val="hybridMultilevel"/>
    <w:tmpl w:val="5CE8A1F8"/>
    <w:lvl w:ilvl="0" w:tplc="23D4F5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2A7672"/>
    <w:multiLevelType w:val="hybridMultilevel"/>
    <w:tmpl w:val="7B2A811C"/>
    <w:lvl w:ilvl="0" w:tplc="0C090003">
      <w:start w:val="1"/>
      <w:numFmt w:val="bullet"/>
      <w:lvlText w:val="o"/>
      <w:lvlJc w:val="left"/>
      <w:pPr>
        <w:ind w:left="1440" w:hanging="360"/>
      </w:pPr>
      <w:rPr>
        <w:rFonts w:ascii="Courier New" w:hAnsi="Courier New" w:cs="Courier New" w:hint="default"/>
      </w:rPr>
    </w:lvl>
    <w:lvl w:ilvl="1" w:tplc="0C090001">
      <w:start w:val="1"/>
      <w:numFmt w:val="bullet"/>
      <w:lvlText w:val=""/>
      <w:lvlJc w:val="left"/>
      <w:pPr>
        <w:ind w:left="2160" w:hanging="360"/>
      </w:pPr>
      <w:rPr>
        <w:rFonts w:ascii="Symbol" w:hAnsi="Symbol" w:hint="default"/>
      </w:rPr>
    </w:lvl>
    <w:lvl w:ilvl="2" w:tplc="0C090003">
      <w:start w:val="1"/>
      <w:numFmt w:val="bullet"/>
      <w:lvlText w:val="o"/>
      <w:lvlJc w:val="left"/>
      <w:pPr>
        <w:ind w:left="2880" w:hanging="360"/>
      </w:pPr>
      <w:rPr>
        <w:rFonts w:ascii="Courier New" w:hAnsi="Courier New" w:cs="Courier New"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B264EA6"/>
    <w:multiLevelType w:val="multilevel"/>
    <w:tmpl w:val="0F1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F21383"/>
    <w:multiLevelType w:val="hybridMultilevel"/>
    <w:tmpl w:val="807E00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5"/>
  </w:num>
  <w:num w:numId="2">
    <w:abstractNumId w:val="20"/>
  </w:num>
  <w:num w:numId="3">
    <w:abstractNumId w:val="0"/>
  </w:num>
  <w:num w:numId="4">
    <w:abstractNumId w:val="14"/>
  </w:num>
  <w:num w:numId="5">
    <w:abstractNumId w:val="10"/>
  </w:num>
  <w:num w:numId="6">
    <w:abstractNumId w:val="3"/>
  </w:num>
  <w:num w:numId="7">
    <w:abstractNumId w:val="16"/>
  </w:num>
  <w:num w:numId="8">
    <w:abstractNumId w:val="18"/>
  </w:num>
  <w:num w:numId="9">
    <w:abstractNumId w:val="17"/>
  </w:num>
  <w:num w:numId="10">
    <w:abstractNumId w:val="8"/>
  </w:num>
  <w:num w:numId="11">
    <w:abstractNumId w:val="22"/>
  </w:num>
  <w:num w:numId="12">
    <w:abstractNumId w:val="4"/>
  </w:num>
  <w:num w:numId="13">
    <w:abstractNumId w:val="5"/>
  </w:num>
  <w:num w:numId="14">
    <w:abstractNumId w:val="7"/>
  </w:num>
  <w:num w:numId="15">
    <w:abstractNumId w:val="9"/>
  </w:num>
  <w:num w:numId="16">
    <w:abstractNumId w:val="12"/>
  </w:num>
  <w:num w:numId="17">
    <w:abstractNumId w:val="21"/>
  </w:num>
  <w:num w:numId="18">
    <w:abstractNumId w:val="2"/>
  </w:num>
  <w:num w:numId="19">
    <w:abstractNumId w:val="23"/>
  </w:num>
  <w:num w:numId="20">
    <w:abstractNumId w:val="1"/>
  </w:num>
  <w:num w:numId="21">
    <w:abstractNumId w:val="19"/>
  </w:num>
  <w:num w:numId="22">
    <w:abstractNumId w:val="11"/>
  </w:num>
  <w:num w:numId="23">
    <w:abstractNumId w:val="11"/>
  </w:num>
  <w:num w:numId="24">
    <w:abstractNumId w:val="1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readOnly" w:enforcement="1" w:cryptProviderType="rsaFull" w:cryptAlgorithmClass="hash" w:cryptAlgorithmType="typeAny" w:cryptAlgorithmSid="4" w:cryptSpinCount="100000" w:hash="qlfGwEUa2YGVOecnZKAPKaGYlWQ=" w:salt="knQLBQx6kpfYscOX7miCu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EA7"/>
    <w:rsid w:val="00003C34"/>
    <w:rsid w:val="00025896"/>
    <w:rsid w:val="00027CED"/>
    <w:rsid w:val="00037323"/>
    <w:rsid w:val="00043CDC"/>
    <w:rsid w:val="00054254"/>
    <w:rsid w:val="000766BD"/>
    <w:rsid w:val="00085308"/>
    <w:rsid w:val="00086191"/>
    <w:rsid w:val="000A0B3E"/>
    <w:rsid w:val="000A0B9F"/>
    <w:rsid w:val="000B35EE"/>
    <w:rsid w:val="000B3893"/>
    <w:rsid w:val="000C224A"/>
    <w:rsid w:val="000D0D1D"/>
    <w:rsid w:val="000D32A5"/>
    <w:rsid w:val="000D3BCF"/>
    <w:rsid w:val="000D43D3"/>
    <w:rsid w:val="000D454A"/>
    <w:rsid w:val="000F14BE"/>
    <w:rsid w:val="000F3761"/>
    <w:rsid w:val="0010025E"/>
    <w:rsid w:val="001002CE"/>
    <w:rsid w:val="00102A9E"/>
    <w:rsid w:val="00115B22"/>
    <w:rsid w:val="0011744F"/>
    <w:rsid w:val="00127CF5"/>
    <w:rsid w:val="00147473"/>
    <w:rsid w:val="00150296"/>
    <w:rsid w:val="00151B53"/>
    <w:rsid w:val="001606D4"/>
    <w:rsid w:val="00161A42"/>
    <w:rsid w:val="00161EB0"/>
    <w:rsid w:val="00174D1C"/>
    <w:rsid w:val="001772B8"/>
    <w:rsid w:val="00183BE2"/>
    <w:rsid w:val="0018588B"/>
    <w:rsid w:val="00187D22"/>
    <w:rsid w:val="00190034"/>
    <w:rsid w:val="001A1493"/>
    <w:rsid w:val="001A4FED"/>
    <w:rsid w:val="001A76C9"/>
    <w:rsid w:val="001B1D34"/>
    <w:rsid w:val="001B5FF7"/>
    <w:rsid w:val="001C1459"/>
    <w:rsid w:val="001C351C"/>
    <w:rsid w:val="001C38E8"/>
    <w:rsid w:val="001C5DA7"/>
    <w:rsid w:val="001D16FC"/>
    <w:rsid w:val="001D3131"/>
    <w:rsid w:val="001D3620"/>
    <w:rsid w:val="001E656C"/>
    <w:rsid w:val="001F70CC"/>
    <w:rsid w:val="00216AB9"/>
    <w:rsid w:val="00223753"/>
    <w:rsid w:val="00230210"/>
    <w:rsid w:val="0023188A"/>
    <w:rsid w:val="00233F2B"/>
    <w:rsid w:val="002531C3"/>
    <w:rsid w:val="00255B1D"/>
    <w:rsid w:val="00267682"/>
    <w:rsid w:val="00271B89"/>
    <w:rsid w:val="00282C90"/>
    <w:rsid w:val="00284994"/>
    <w:rsid w:val="002909CA"/>
    <w:rsid w:val="00293A8B"/>
    <w:rsid w:val="002A4662"/>
    <w:rsid w:val="002A73B7"/>
    <w:rsid w:val="002B1241"/>
    <w:rsid w:val="002E2FD4"/>
    <w:rsid w:val="002E60F7"/>
    <w:rsid w:val="002F28B1"/>
    <w:rsid w:val="002F4029"/>
    <w:rsid w:val="00307972"/>
    <w:rsid w:val="00332CB4"/>
    <w:rsid w:val="00335C87"/>
    <w:rsid w:val="00341C3A"/>
    <w:rsid w:val="0034236D"/>
    <w:rsid w:val="003507EB"/>
    <w:rsid w:val="00362B51"/>
    <w:rsid w:val="003656D3"/>
    <w:rsid w:val="003716ED"/>
    <w:rsid w:val="00371BCB"/>
    <w:rsid w:val="00373C60"/>
    <w:rsid w:val="00385B82"/>
    <w:rsid w:val="00386A19"/>
    <w:rsid w:val="00391460"/>
    <w:rsid w:val="00397D3D"/>
    <w:rsid w:val="003A122B"/>
    <w:rsid w:val="003A2304"/>
    <w:rsid w:val="003A4507"/>
    <w:rsid w:val="003A67B0"/>
    <w:rsid w:val="003B10B2"/>
    <w:rsid w:val="003B3367"/>
    <w:rsid w:val="003B564A"/>
    <w:rsid w:val="003B7624"/>
    <w:rsid w:val="003C5180"/>
    <w:rsid w:val="003D34F0"/>
    <w:rsid w:val="003D71A2"/>
    <w:rsid w:val="003D7924"/>
    <w:rsid w:val="003E3E85"/>
    <w:rsid w:val="003E556F"/>
    <w:rsid w:val="003E5AC6"/>
    <w:rsid w:val="003F13D7"/>
    <w:rsid w:val="00406554"/>
    <w:rsid w:val="00436EAC"/>
    <w:rsid w:val="00441D50"/>
    <w:rsid w:val="0044616D"/>
    <w:rsid w:val="00446BC9"/>
    <w:rsid w:val="00457A3E"/>
    <w:rsid w:val="004618BB"/>
    <w:rsid w:val="00462911"/>
    <w:rsid w:val="00464F2A"/>
    <w:rsid w:val="00480C5B"/>
    <w:rsid w:val="00492B5B"/>
    <w:rsid w:val="00494732"/>
    <w:rsid w:val="00495992"/>
    <w:rsid w:val="004A56BC"/>
    <w:rsid w:val="004B0F5D"/>
    <w:rsid w:val="004C0785"/>
    <w:rsid w:val="004C1942"/>
    <w:rsid w:val="004C21D2"/>
    <w:rsid w:val="004C7F48"/>
    <w:rsid w:val="004D0AF8"/>
    <w:rsid w:val="004D757E"/>
    <w:rsid w:val="004E4EA7"/>
    <w:rsid w:val="004E5FAD"/>
    <w:rsid w:val="004F78CE"/>
    <w:rsid w:val="004F7F97"/>
    <w:rsid w:val="00511000"/>
    <w:rsid w:val="00530B00"/>
    <w:rsid w:val="00531DBB"/>
    <w:rsid w:val="005458ED"/>
    <w:rsid w:val="00546229"/>
    <w:rsid w:val="00554FC4"/>
    <w:rsid w:val="00567DC7"/>
    <w:rsid w:val="00573963"/>
    <w:rsid w:val="00574FE6"/>
    <w:rsid w:val="00587942"/>
    <w:rsid w:val="005B4C8C"/>
    <w:rsid w:val="005C5F22"/>
    <w:rsid w:val="005C645A"/>
    <w:rsid w:val="005D39B1"/>
    <w:rsid w:val="005D3A4A"/>
    <w:rsid w:val="005D4964"/>
    <w:rsid w:val="005E3002"/>
    <w:rsid w:val="0060679B"/>
    <w:rsid w:val="00606C6B"/>
    <w:rsid w:val="00652DD6"/>
    <w:rsid w:val="006804E2"/>
    <w:rsid w:val="00682A60"/>
    <w:rsid w:val="006A1779"/>
    <w:rsid w:val="006A5A7D"/>
    <w:rsid w:val="006C062B"/>
    <w:rsid w:val="006D0CE9"/>
    <w:rsid w:val="006D436E"/>
    <w:rsid w:val="006D5C36"/>
    <w:rsid w:val="006D7117"/>
    <w:rsid w:val="006F1E9C"/>
    <w:rsid w:val="006F21E7"/>
    <w:rsid w:val="007118DE"/>
    <w:rsid w:val="00714101"/>
    <w:rsid w:val="0072528C"/>
    <w:rsid w:val="00725D68"/>
    <w:rsid w:val="007416E7"/>
    <w:rsid w:val="007438D6"/>
    <w:rsid w:val="0075079C"/>
    <w:rsid w:val="00750DAD"/>
    <w:rsid w:val="00760C3E"/>
    <w:rsid w:val="007712F7"/>
    <w:rsid w:val="00772CF6"/>
    <w:rsid w:val="007749DA"/>
    <w:rsid w:val="00782093"/>
    <w:rsid w:val="00786DBA"/>
    <w:rsid w:val="007901F8"/>
    <w:rsid w:val="007A7036"/>
    <w:rsid w:val="007B1320"/>
    <w:rsid w:val="007B173D"/>
    <w:rsid w:val="007B2E20"/>
    <w:rsid w:val="007B4A3D"/>
    <w:rsid w:val="007C152B"/>
    <w:rsid w:val="007C3994"/>
    <w:rsid w:val="007C5E16"/>
    <w:rsid w:val="007D1172"/>
    <w:rsid w:val="007D13EC"/>
    <w:rsid w:val="007D3143"/>
    <w:rsid w:val="0080555F"/>
    <w:rsid w:val="00805D16"/>
    <w:rsid w:val="008154F8"/>
    <w:rsid w:val="00815A99"/>
    <w:rsid w:val="00840FA2"/>
    <w:rsid w:val="00846EB8"/>
    <w:rsid w:val="00854E7E"/>
    <w:rsid w:val="00855C95"/>
    <w:rsid w:val="00857BC1"/>
    <w:rsid w:val="00864F45"/>
    <w:rsid w:val="00871236"/>
    <w:rsid w:val="0087653A"/>
    <w:rsid w:val="00892020"/>
    <w:rsid w:val="008927EE"/>
    <w:rsid w:val="008A204D"/>
    <w:rsid w:val="008B2AFB"/>
    <w:rsid w:val="008C3B53"/>
    <w:rsid w:val="008D0682"/>
    <w:rsid w:val="008D15F4"/>
    <w:rsid w:val="008D7BD6"/>
    <w:rsid w:val="008E1D9D"/>
    <w:rsid w:val="008E2278"/>
    <w:rsid w:val="008E6155"/>
    <w:rsid w:val="008E781F"/>
    <w:rsid w:val="00902AC4"/>
    <w:rsid w:val="00905D58"/>
    <w:rsid w:val="00911FDD"/>
    <w:rsid w:val="009161B6"/>
    <w:rsid w:val="00916837"/>
    <w:rsid w:val="00920F17"/>
    <w:rsid w:val="009241C4"/>
    <w:rsid w:val="00931136"/>
    <w:rsid w:val="00932117"/>
    <w:rsid w:val="00933771"/>
    <w:rsid w:val="009358CA"/>
    <w:rsid w:val="00945201"/>
    <w:rsid w:val="009474DD"/>
    <w:rsid w:val="00950CC9"/>
    <w:rsid w:val="009552CC"/>
    <w:rsid w:val="0095581A"/>
    <w:rsid w:val="00966EBC"/>
    <w:rsid w:val="00972E2E"/>
    <w:rsid w:val="0098502C"/>
    <w:rsid w:val="00993FDB"/>
    <w:rsid w:val="0099634F"/>
    <w:rsid w:val="009B1982"/>
    <w:rsid w:val="009C1F7F"/>
    <w:rsid w:val="009C38A3"/>
    <w:rsid w:val="009D7AE5"/>
    <w:rsid w:val="009E2588"/>
    <w:rsid w:val="009F04A7"/>
    <w:rsid w:val="009F3C2F"/>
    <w:rsid w:val="009F65FB"/>
    <w:rsid w:val="00A02109"/>
    <w:rsid w:val="00A02866"/>
    <w:rsid w:val="00A02CE4"/>
    <w:rsid w:val="00A04D55"/>
    <w:rsid w:val="00A11FA8"/>
    <w:rsid w:val="00A12E0B"/>
    <w:rsid w:val="00A16393"/>
    <w:rsid w:val="00A36722"/>
    <w:rsid w:val="00A426E1"/>
    <w:rsid w:val="00A44A59"/>
    <w:rsid w:val="00A44C36"/>
    <w:rsid w:val="00A5197D"/>
    <w:rsid w:val="00A54533"/>
    <w:rsid w:val="00A67642"/>
    <w:rsid w:val="00A71CE3"/>
    <w:rsid w:val="00A81BC6"/>
    <w:rsid w:val="00A91A3C"/>
    <w:rsid w:val="00A9403E"/>
    <w:rsid w:val="00A94BF1"/>
    <w:rsid w:val="00A950C4"/>
    <w:rsid w:val="00AA4F1D"/>
    <w:rsid w:val="00AC2A71"/>
    <w:rsid w:val="00AD3454"/>
    <w:rsid w:val="00AD4C12"/>
    <w:rsid w:val="00AD57F2"/>
    <w:rsid w:val="00AF7A1E"/>
    <w:rsid w:val="00B05CAA"/>
    <w:rsid w:val="00B205AE"/>
    <w:rsid w:val="00B218BC"/>
    <w:rsid w:val="00B23A08"/>
    <w:rsid w:val="00B26E6C"/>
    <w:rsid w:val="00B40B0F"/>
    <w:rsid w:val="00B52EB3"/>
    <w:rsid w:val="00B57F60"/>
    <w:rsid w:val="00B64A65"/>
    <w:rsid w:val="00B6655A"/>
    <w:rsid w:val="00B70BB5"/>
    <w:rsid w:val="00B7327E"/>
    <w:rsid w:val="00B74994"/>
    <w:rsid w:val="00B82787"/>
    <w:rsid w:val="00B865F6"/>
    <w:rsid w:val="00B86A75"/>
    <w:rsid w:val="00B922C1"/>
    <w:rsid w:val="00B958C3"/>
    <w:rsid w:val="00B97265"/>
    <w:rsid w:val="00BA3480"/>
    <w:rsid w:val="00BA6E25"/>
    <w:rsid w:val="00BD03C9"/>
    <w:rsid w:val="00BD6A25"/>
    <w:rsid w:val="00BE0A25"/>
    <w:rsid w:val="00BF0044"/>
    <w:rsid w:val="00BF13C1"/>
    <w:rsid w:val="00BF6A70"/>
    <w:rsid w:val="00BF7EBB"/>
    <w:rsid w:val="00C03972"/>
    <w:rsid w:val="00C047C7"/>
    <w:rsid w:val="00C16D00"/>
    <w:rsid w:val="00C16D1E"/>
    <w:rsid w:val="00C3412D"/>
    <w:rsid w:val="00C37C65"/>
    <w:rsid w:val="00C46AFA"/>
    <w:rsid w:val="00C50FBA"/>
    <w:rsid w:val="00C51129"/>
    <w:rsid w:val="00C5466D"/>
    <w:rsid w:val="00C65710"/>
    <w:rsid w:val="00C74A32"/>
    <w:rsid w:val="00C74DC6"/>
    <w:rsid w:val="00C76F2E"/>
    <w:rsid w:val="00C91A18"/>
    <w:rsid w:val="00C9392D"/>
    <w:rsid w:val="00CA19C1"/>
    <w:rsid w:val="00CA3624"/>
    <w:rsid w:val="00CA3FDD"/>
    <w:rsid w:val="00CB0C75"/>
    <w:rsid w:val="00CB2609"/>
    <w:rsid w:val="00CB62C1"/>
    <w:rsid w:val="00CC1523"/>
    <w:rsid w:val="00CC3FAA"/>
    <w:rsid w:val="00D00F29"/>
    <w:rsid w:val="00D0463D"/>
    <w:rsid w:val="00D04E67"/>
    <w:rsid w:val="00D23704"/>
    <w:rsid w:val="00D60487"/>
    <w:rsid w:val="00D77F96"/>
    <w:rsid w:val="00D9793B"/>
    <w:rsid w:val="00DA0387"/>
    <w:rsid w:val="00DA187A"/>
    <w:rsid w:val="00DA5EC4"/>
    <w:rsid w:val="00DB63AB"/>
    <w:rsid w:val="00DB68CF"/>
    <w:rsid w:val="00DC6852"/>
    <w:rsid w:val="00DF0F45"/>
    <w:rsid w:val="00E02606"/>
    <w:rsid w:val="00E06BC6"/>
    <w:rsid w:val="00E07271"/>
    <w:rsid w:val="00E106F9"/>
    <w:rsid w:val="00E23C14"/>
    <w:rsid w:val="00E45A47"/>
    <w:rsid w:val="00E54969"/>
    <w:rsid w:val="00E679B6"/>
    <w:rsid w:val="00E760C1"/>
    <w:rsid w:val="00E96059"/>
    <w:rsid w:val="00EA3B53"/>
    <w:rsid w:val="00EB4BE5"/>
    <w:rsid w:val="00EC30E4"/>
    <w:rsid w:val="00EC418C"/>
    <w:rsid w:val="00EC5672"/>
    <w:rsid w:val="00EC59E1"/>
    <w:rsid w:val="00EE0A4A"/>
    <w:rsid w:val="00EE2012"/>
    <w:rsid w:val="00EF4354"/>
    <w:rsid w:val="00F0109D"/>
    <w:rsid w:val="00F03A18"/>
    <w:rsid w:val="00F048B6"/>
    <w:rsid w:val="00F04ACE"/>
    <w:rsid w:val="00F0683A"/>
    <w:rsid w:val="00F224AD"/>
    <w:rsid w:val="00F26598"/>
    <w:rsid w:val="00F27308"/>
    <w:rsid w:val="00F3270E"/>
    <w:rsid w:val="00F327B2"/>
    <w:rsid w:val="00F35BD7"/>
    <w:rsid w:val="00F5173B"/>
    <w:rsid w:val="00F528BE"/>
    <w:rsid w:val="00F60DE9"/>
    <w:rsid w:val="00F61915"/>
    <w:rsid w:val="00F65293"/>
    <w:rsid w:val="00F706D6"/>
    <w:rsid w:val="00F773AC"/>
    <w:rsid w:val="00F80D12"/>
    <w:rsid w:val="00F82C3E"/>
    <w:rsid w:val="00F908FD"/>
    <w:rsid w:val="00F96C35"/>
    <w:rsid w:val="00F97400"/>
    <w:rsid w:val="00FA2618"/>
    <w:rsid w:val="00FB5804"/>
    <w:rsid w:val="00FC4046"/>
    <w:rsid w:val="00FC58EE"/>
    <w:rsid w:val="00FC6A52"/>
    <w:rsid w:val="00FD4A2E"/>
    <w:rsid w:val="00FD595D"/>
    <w:rsid w:val="00FD7C1A"/>
    <w:rsid w:val="00FE3053"/>
    <w:rsid w:val="00FE5E90"/>
    <w:rsid w:val="00FF29E3"/>
    <w:rsid w:val="00FF2ED2"/>
    <w:rsid w:val="00FF32C1"/>
    <w:rsid w:val="00FF47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1519E10-C5C3-443D-89FB-A4383B32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EA7"/>
  </w:style>
  <w:style w:type="paragraph" w:styleId="Heading2">
    <w:name w:val="heading 2"/>
    <w:basedOn w:val="Normal"/>
    <w:next w:val="Normal"/>
    <w:link w:val="Heading2Char"/>
    <w:uiPriority w:val="9"/>
    <w:unhideWhenUsed/>
    <w:qFormat/>
    <w:rsid w:val="000766BD"/>
    <w:pPr>
      <w:keepNext/>
      <w:keepLines/>
      <w:autoSpaceDE w:val="0"/>
      <w:autoSpaceDN w:val="0"/>
      <w:adjustRightInd w:val="0"/>
      <w:spacing w:before="200" w:after="0" w:line="240" w:lineRule="auto"/>
      <w:jc w:val="both"/>
      <w:outlineLvl w:val="1"/>
    </w:pPr>
    <w:rPr>
      <w:rFonts w:asciiTheme="majorHAnsi" w:eastAsiaTheme="majorEastAsia" w:hAnsiTheme="majorHAnsi" w:cstheme="majorBidi"/>
      <w:b/>
      <w:bCs/>
      <w:color w:val="4F81BD" w:themeColor="accent1"/>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EA7"/>
    <w:pPr>
      <w:tabs>
        <w:tab w:val="center" w:pos="4513"/>
        <w:tab w:val="right" w:pos="9026"/>
      </w:tabs>
      <w:spacing w:after="0" w:line="240" w:lineRule="auto"/>
      <w:jc w:val="both"/>
    </w:pPr>
    <w:rPr>
      <w:rFonts w:ascii="Arial" w:eastAsia="Calibri" w:hAnsi="Arial" w:cs="Arial"/>
      <w:sz w:val="24"/>
      <w:szCs w:val="24"/>
    </w:rPr>
  </w:style>
  <w:style w:type="character" w:customStyle="1" w:styleId="HeaderChar">
    <w:name w:val="Header Char"/>
    <w:basedOn w:val="DefaultParagraphFont"/>
    <w:link w:val="Header"/>
    <w:uiPriority w:val="99"/>
    <w:rsid w:val="004E4EA7"/>
    <w:rPr>
      <w:rFonts w:ascii="Arial" w:eastAsia="Calibri" w:hAnsi="Arial" w:cs="Arial"/>
      <w:sz w:val="24"/>
      <w:szCs w:val="24"/>
    </w:rPr>
  </w:style>
  <w:style w:type="paragraph" w:styleId="Footer">
    <w:name w:val="footer"/>
    <w:basedOn w:val="Normal"/>
    <w:link w:val="FooterChar"/>
    <w:uiPriority w:val="99"/>
    <w:unhideWhenUsed/>
    <w:rsid w:val="004E4EA7"/>
    <w:pPr>
      <w:tabs>
        <w:tab w:val="center" w:pos="4513"/>
        <w:tab w:val="right" w:pos="9026"/>
      </w:tabs>
      <w:spacing w:after="0" w:line="240" w:lineRule="auto"/>
      <w:jc w:val="both"/>
    </w:pPr>
    <w:rPr>
      <w:rFonts w:ascii="Arial" w:eastAsia="Calibri" w:hAnsi="Arial" w:cs="Arial"/>
      <w:sz w:val="24"/>
      <w:szCs w:val="24"/>
    </w:rPr>
  </w:style>
  <w:style w:type="character" w:customStyle="1" w:styleId="FooterChar">
    <w:name w:val="Footer Char"/>
    <w:basedOn w:val="DefaultParagraphFont"/>
    <w:link w:val="Footer"/>
    <w:uiPriority w:val="99"/>
    <w:rsid w:val="004E4EA7"/>
    <w:rPr>
      <w:rFonts w:ascii="Arial" w:eastAsia="Calibri" w:hAnsi="Arial" w:cs="Arial"/>
      <w:sz w:val="24"/>
      <w:szCs w:val="24"/>
    </w:rPr>
  </w:style>
  <w:style w:type="paragraph" w:styleId="ListParagraph">
    <w:name w:val="List Paragraph"/>
    <w:basedOn w:val="Normal"/>
    <w:uiPriority w:val="34"/>
    <w:qFormat/>
    <w:rsid w:val="004E4EA7"/>
    <w:pPr>
      <w:ind w:left="720"/>
      <w:contextualSpacing/>
    </w:pPr>
  </w:style>
  <w:style w:type="table" w:styleId="TableGrid">
    <w:name w:val="Table Grid"/>
    <w:basedOn w:val="TableNormal"/>
    <w:uiPriority w:val="59"/>
    <w:rsid w:val="004E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4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EA7"/>
    <w:rPr>
      <w:rFonts w:ascii="Tahoma" w:hAnsi="Tahoma" w:cs="Tahoma"/>
      <w:sz w:val="16"/>
      <w:szCs w:val="16"/>
    </w:rPr>
  </w:style>
  <w:style w:type="character" w:styleId="Hyperlink">
    <w:name w:val="Hyperlink"/>
    <w:basedOn w:val="DefaultParagraphFont"/>
    <w:uiPriority w:val="99"/>
    <w:unhideWhenUsed/>
    <w:rsid w:val="007A7036"/>
    <w:rPr>
      <w:color w:val="0000FF" w:themeColor="hyperlink"/>
      <w:u w:val="single"/>
    </w:rPr>
  </w:style>
  <w:style w:type="paragraph" w:customStyle="1" w:styleId="Default">
    <w:name w:val="Default"/>
    <w:rsid w:val="00373C6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F70CC"/>
    <w:rPr>
      <w:sz w:val="16"/>
      <w:szCs w:val="16"/>
    </w:rPr>
  </w:style>
  <w:style w:type="paragraph" w:styleId="CommentText">
    <w:name w:val="annotation text"/>
    <w:basedOn w:val="Normal"/>
    <w:link w:val="CommentTextChar"/>
    <w:uiPriority w:val="99"/>
    <w:unhideWhenUsed/>
    <w:rsid w:val="001F70CC"/>
    <w:pPr>
      <w:spacing w:line="240" w:lineRule="auto"/>
    </w:pPr>
    <w:rPr>
      <w:sz w:val="20"/>
      <w:szCs w:val="20"/>
    </w:rPr>
  </w:style>
  <w:style w:type="character" w:customStyle="1" w:styleId="CommentTextChar">
    <w:name w:val="Comment Text Char"/>
    <w:basedOn w:val="DefaultParagraphFont"/>
    <w:link w:val="CommentText"/>
    <w:uiPriority w:val="99"/>
    <w:rsid w:val="001F70CC"/>
    <w:rPr>
      <w:sz w:val="20"/>
      <w:szCs w:val="20"/>
    </w:rPr>
  </w:style>
  <w:style w:type="paragraph" w:styleId="CommentSubject">
    <w:name w:val="annotation subject"/>
    <w:basedOn w:val="CommentText"/>
    <w:next w:val="CommentText"/>
    <w:link w:val="CommentSubjectChar"/>
    <w:uiPriority w:val="99"/>
    <w:semiHidden/>
    <w:unhideWhenUsed/>
    <w:rsid w:val="001F70CC"/>
    <w:rPr>
      <w:b/>
      <w:bCs/>
    </w:rPr>
  </w:style>
  <w:style w:type="character" w:customStyle="1" w:styleId="CommentSubjectChar">
    <w:name w:val="Comment Subject Char"/>
    <w:basedOn w:val="CommentTextChar"/>
    <w:link w:val="CommentSubject"/>
    <w:uiPriority w:val="99"/>
    <w:semiHidden/>
    <w:rsid w:val="001F70CC"/>
    <w:rPr>
      <w:b/>
      <w:bCs/>
      <w:sz w:val="20"/>
      <w:szCs w:val="20"/>
    </w:rPr>
  </w:style>
  <w:style w:type="character" w:styleId="Emphasis">
    <w:name w:val="Emphasis"/>
    <w:basedOn w:val="DefaultParagraphFont"/>
    <w:uiPriority w:val="20"/>
    <w:qFormat/>
    <w:rsid w:val="00F706D6"/>
    <w:rPr>
      <w:i/>
      <w:iCs/>
    </w:rPr>
  </w:style>
  <w:style w:type="character" w:styleId="FollowedHyperlink">
    <w:name w:val="FollowedHyperlink"/>
    <w:basedOn w:val="DefaultParagraphFont"/>
    <w:uiPriority w:val="99"/>
    <w:semiHidden/>
    <w:unhideWhenUsed/>
    <w:rsid w:val="00F706D6"/>
    <w:rPr>
      <w:color w:val="800080" w:themeColor="followedHyperlink"/>
      <w:u w:val="single"/>
    </w:rPr>
  </w:style>
  <w:style w:type="character" w:styleId="Strong">
    <w:name w:val="Strong"/>
    <w:basedOn w:val="DefaultParagraphFont"/>
    <w:uiPriority w:val="22"/>
    <w:qFormat/>
    <w:rsid w:val="008E1D9D"/>
    <w:rPr>
      <w:b/>
      <w:bCs/>
    </w:rPr>
  </w:style>
  <w:style w:type="character" w:customStyle="1" w:styleId="Heading2Char">
    <w:name w:val="Heading 2 Char"/>
    <w:basedOn w:val="DefaultParagraphFont"/>
    <w:link w:val="Heading2"/>
    <w:uiPriority w:val="9"/>
    <w:rsid w:val="000766BD"/>
    <w:rPr>
      <w:rFonts w:asciiTheme="majorHAnsi" w:eastAsiaTheme="majorEastAsia" w:hAnsiTheme="majorHAnsi" w:cstheme="majorBidi"/>
      <w:b/>
      <w:bCs/>
      <w:color w:val="4F81BD" w:themeColor="accent1"/>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3096">
      <w:bodyDiv w:val="1"/>
      <w:marLeft w:val="0"/>
      <w:marRight w:val="0"/>
      <w:marTop w:val="0"/>
      <w:marBottom w:val="0"/>
      <w:divBdr>
        <w:top w:val="none" w:sz="0" w:space="0" w:color="auto"/>
        <w:left w:val="none" w:sz="0" w:space="0" w:color="auto"/>
        <w:bottom w:val="none" w:sz="0" w:space="0" w:color="auto"/>
        <w:right w:val="none" w:sz="0" w:space="0" w:color="auto"/>
      </w:divBdr>
    </w:div>
    <w:div w:id="118769407">
      <w:bodyDiv w:val="1"/>
      <w:marLeft w:val="0"/>
      <w:marRight w:val="0"/>
      <w:marTop w:val="0"/>
      <w:marBottom w:val="0"/>
      <w:divBdr>
        <w:top w:val="none" w:sz="0" w:space="0" w:color="auto"/>
        <w:left w:val="none" w:sz="0" w:space="0" w:color="auto"/>
        <w:bottom w:val="none" w:sz="0" w:space="0" w:color="auto"/>
        <w:right w:val="none" w:sz="0" w:space="0" w:color="auto"/>
      </w:divBdr>
      <w:divsChild>
        <w:div w:id="1957833774">
          <w:marLeft w:val="0"/>
          <w:marRight w:val="0"/>
          <w:marTop w:val="0"/>
          <w:marBottom w:val="0"/>
          <w:divBdr>
            <w:top w:val="none" w:sz="0" w:space="0" w:color="auto"/>
            <w:left w:val="none" w:sz="0" w:space="0" w:color="auto"/>
            <w:bottom w:val="none" w:sz="0" w:space="0" w:color="auto"/>
            <w:right w:val="none" w:sz="0" w:space="0" w:color="auto"/>
          </w:divBdr>
          <w:divsChild>
            <w:div w:id="769202561">
              <w:marLeft w:val="0"/>
              <w:marRight w:val="0"/>
              <w:marTop w:val="0"/>
              <w:marBottom w:val="0"/>
              <w:divBdr>
                <w:top w:val="none" w:sz="0" w:space="0" w:color="auto"/>
                <w:left w:val="none" w:sz="0" w:space="0" w:color="auto"/>
                <w:bottom w:val="none" w:sz="0" w:space="0" w:color="auto"/>
                <w:right w:val="none" w:sz="0" w:space="0" w:color="auto"/>
              </w:divBdr>
              <w:divsChild>
                <w:div w:id="1754349770">
                  <w:marLeft w:val="0"/>
                  <w:marRight w:val="0"/>
                  <w:marTop w:val="0"/>
                  <w:marBottom w:val="0"/>
                  <w:divBdr>
                    <w:top w:val="none" w:sz="0" w:space="0" w:color="auto"/>
                    <w:left w:val="none" w:sz="0" w:space="0" w:color="auto"/>
                    <w:bottom w:val="none" w:sz="0" w:space="0" w:color="auto"/>
                    <w:right w:val="none" w:sz="0" w:space="0" w:color="auto"/>
                  </w:divBdr>
                  <w:divsChild>
                    <w:div w:id="1520314697">
                      <w:marLeft w:val="0"/>
                      <w:marRight w:val="0"/>
                      <w:marTop w:val="0"/>
                      <w:marBottom w:val="0"/>
                      <w:divBdr>
                        <w:top w:val="none" w:sz="0" w:space="0" w:color="auto"/>
                        <w:left w:val="none" w:sz="0" w:space="0" w:color="auto"/>
                        <w:bottom w:val="none" w:sz="0" w:space="0" w:color="auto"/>
                        <w:right w:val="none" w:sz="0" w:space="0" w:color="auto"/>
                      </w:divBdr>
                      <w:divsChild>
                        <w:div w:id="1287735890">
                          <w:marLeft w:val="0"/>
                          <w:marRight w:val="0"/>
                          <w:marTop w:val="0"/>
                          <w:marBottom w:val="0"/>
                          <w:divBdr>
                            <w:top w:val="none" w:sz="0" w:space="0" w:color="auto"/>
                            <w:left w:val="none" w:sz="0" w:space="0" w:color="auto"/>
                            <w:bottom w:val="none" w:sz="0" w:space="0" w:color="auto"/>
                            <w:right w:val="none" w:sz="0" w:space="0" w:color="auto"/>
                          </w:divBdr>
                          <w:divsChild>
                            <w:div w:id="245765797">
                              <w:marLeft w:val="0"/>
                              <w:marRight w:val="0"/>
                              <w:marTop w:val="0"/>
                              <w:marBottom w:val="0"/>
                              <w:divBdr>
                                <w:top w:val="none" w:sz="0" w:space="0" w:color="auto"/>
                                <w:left w:val="none" w:sz="0" w:space="0" w:color="auto"/>
                                <w:bottom w:val="none" w:sz="0" w:space="0" w:color="auto"/>
                                <w:right w:val="none" w:sz="0" w:space="0" w:color="auto"/>
                              </w:divBdr>
                              <w:divsChild>
                                <w:div w:id="15608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99375">
      <w:bodyDiv w:val="1"/>
      <w:marLeft w:val="0"/>
      <w:marRight w:val="0"/>
      <w:marTop w:val="0"/>
      <w:marBottom w:val="0"/>
      <w:divBdr>
        <w:top w:val="none" w:sz="0" w:space="0" w:color="auto"/>
        <w:left w:val="none" w:sz="0" w:space="0" w:color="auto"/>
        <w:bottom w:val="none" w:sz="0" w:space="0" w:color="auto"/>
        <w:right w:val="none" w:sz="0" w:space="0" w:color="auto"/>
      </w:divBdr>
      <w:divsChild>
        <w:div w:id="610472798">
          <w:marLeft w:val="0"/>
          <w:marRight w:val="0"/>
          <w:marTop w:val="0"/>
          <w:marBottom w:val="0"/>
          <w:divBdr>
            <w:top w:val="none" w:sz="0" w:space="0" w:color="auto"/>
            <w:left w:val="none" w:sz="0" w:space="0" w:color="auto"/>
            <w:bottom w:val="none" w:sz="0" w:space="0" w:color="auto"/>
            <w:right w:val="none" w:sz="0" w:space="0" w:color="auto"/>
          </w:divBdr>
          <w:divsChild>
            <w:div w:id="2009942232">
              <w:marLeft w:val="0"/>
              <w:marRight w:val="0"/>
              <w:marTop w:val="0"/>
              <w:marBottom w:val="0"/>
              <w:divBdr>
                <w:top w:val="none" w:sz="0" w:space="0" w:color="auto"/>
                <w:left w:val="none" w:sz="0" w:space="0" w:color="auto"/>
                <w:bottom w:val="none" w:sz="0" w:space="0" w:color="auto"/>
                <w:right w:val="none" w:sz="0" w:space="0" w:color="auto"/>
              </w:divBdr>
              <w:divsChild>
                <w:div w:id="820728691">
                  <w:marLeft w:val="0"/>
                  <w:marRight w:val="0"/>
                  <w:marTop w:val="0"/>
                  <w:marBottom w:val="0"/>
                  <w:divBdr>
                    <w:top w:val="none" w:sz="0" w:space="0" w:color="auto"/>
                    <w:left w:val="none" w:sz="0" w:space="0" w:color="auto"/>
                    <w:bottom w:val="none" w:sz="0" w:space="0" w:color="auto"/>
                    <w:right w:val="none" w:sz="0" w:space="0" w:color="auto"/>
                  </w:divBdr>
                  <w:divsChild>
                    <w:div w:id="1225220247">
                      <w:marLeft w:val="0"/>
                      <w:marRight w:val="0"/>
                      <w:marTop w:val="0"/>
                      <w:marBottom w:val="0"/>
                      <w:divBdr>
                        <w:top w:val="none" w:sz="0" w:space="0" w:color="auto"/>
                        <w:left w:val="none" w:sz="0" w:space="0" w:color="auto"/>
                        <w:bottom w:val="none" w:sz="0" w:space="0" w:color="auto"/>
                        <w:right w:val="none" w:sz="0" w:space="0" w:color="auto"/>
                      </w:divBdr>
                      <w:divsChild>
                        <w:div w:id="140583577">
                          <w:marLeft w:val="0"/>
                          <w:marRight w:val="0"/>
                          <w:marTop w:val="0"/>
                          <w:marBottom w:val="0"/>
                          <w:divBdr>
                            <w:top w:val="none" w:sz="0" w:space="0" w:color="auto"/>
                            <w:left w:val="none" w:sz="0" w:space="0" w:color="auto"/>
                            <w:bottom w:val="none" w:sz="0" w:space="0" w:color="auto"/>
                            <w:right w:val="none" w:sz="0" w:space="0" w:color="auto"/>
                          </w:divBdr>
                          <w:divsChild>
                            <w:div w:id="1085036433">
                              <w:marLeft w:val="0"/>
                              <w:marRight w:val="0"/>
                              <w:marTop w:val="0"/>
                              <w:marBottom w:val="0"/>
                              <w:divBdr>
                                <w:top w:val="none" w:sz="0" w:space="0" w:color="auto"/>
                                <w:left w:val="none" w:sz="0" w:space="0" w:color="auto"/>
                                <w:bottom w:val="none" w:sz="0" w:space="0" w:color="auto"/>
                                <w:right w:val="none" w:sz="0" w:space="0" w:color="auto"/>
                              </w:divBdr>
                              <w:divsChild>
                                <w:div w:id="18425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23706">
      <w:bodyDiv w:val="1"/>
      <w:marLeft w:val="0"/>
      <w:marRight w:val="0"/>
      <w:marTop w:val="0"/>
      <w:marBottom w:val="0"/>
      <w:divBdr>
        <w:top w:val="none" w:sz="0" w:space="0" w:color="auto"/>
        <w:left w:val="none" w:sz="0" w:space="0" w:color="auto"/>
        <w:bottom w:val="none" w:sz="0" w:space="0" w:color="auto"/>
        <w:right w:val="none" w:sz="0" w:space="0" w:color="auto"/>
      </w:divBdr>
    </w:div>
    <w:div w:id="846674224">
      <w:bodyDiv w:val="1"/>
      <w:marLeft w:val="0"/>
      <w:marRight w:val="0"/>
      <w:marTop w:val="0"/>
      <w:marBottom w:val="0"/>
      <w:divBdr>
        <w:top w:val="none" w:sz="0" w:space="0" w:color="auto"/>
        <w:left w:val="none" w:sz="0" w:space="0" w:color="auto"/>
        <w:bottom w:val="none" w:sz="0" w:space="0" w:color="auto"/>
        <w:right w:val="none" w:sz="0" w:space="0" w:color="auto"/>
      </w:divBdr>
    </w:div>
    <w:div w:id="892305287">
      <w:bodyDiv w:val="1"/>
      <w:marLeft w:val="0"/>
      <w:marRight w:val="0"/>
      <w:marTop w:val="0"/>
      <w:marBottom w:val="0"/>
      <w:divBdr>
        <w:top w:val="none" w:sz="0" w:space="0" w:color="auto"/>
        <w:left w:val="none" w:sz="0" w:space="0" w:color="auto"/>
        <w:bottom w:val="none" w:sz="0" w:space="0" w:color="auto"/>
        <w:right w:val="none" w:sz="0" w:space="0" w:color="auto"/>
      </w:divBdr>
    </w:div>
    <w:div w:id="899562088">
      <w:bodyDiv w:val="1"/>
      <w:marLeft w:val="0"/>
      <w:marRight w:val="0"/>
      <w:marTop w:val="0"/>
      <w:marBottom w:val="0"/>
      <w:divBdr>
        <w:top w:val="none" w:sz="0" w:space="0" w:color="auto"/>
        <w:left w:val="none" w:sz="0" w:space="0" w:color="auto"/>
        <w:bottom w:val="none" w:sz="0" w:space="0" w:color="auto"/>
        <w:right w:val="none" w:sz="0" w:space="0" w:color="auto"/>
      </w:divBdr>
    </w:div>
    <w:div w:id="982347698">
      <w:bodyDiv w:val="1"/>
      <w:marLeft w:val="0"/>
      <w:marRight w:val="0"/>
      <w:marTop w:val="0"/>
      <w:marBottom w:val="0"/>
      <w:divBdr>
        <w:top w:val="none" w:sz="0" w:space="0" w:color="auto"/>
        <w:left w:val="none" w:sz="0" w:space="0" w:color="auto"/>
        <w:bottom w:val="none" w:sz="0" w:space="0" w:color="auto"/>
        <w:right w:val="none" w:sz="0" w:space="0" w:color="auto"/>
      </w:divBdr>
    </w:div>
    <w:div w:id="1064524317">
      <w:bodyDiv w:val="1"/>
      <w:marLeft w:val="0"/>
      <w:marRight w:val="0"/>
      <w:marTop w:val="0"/>
      <w:marBottom w:val="0"/>
      <w:divBdr>
        <w:top w:val="none" w:sz="0" w:space="0" w:color="auto"/>
        <w:left w:val="none" w:sz="0" w:space="0" w:color="auto"/>
        <w:bottom w:val="none" w:sz="0" w:space="0" w:color="auto"/>
        <w:right w:val="none" w:sz="0" w:space="0" w:color="auto"/>
      </w:divBdr>
    </w:div>
    <w:div w:id="1174762712">
      <w:bodyDiv w:val="1"/>
      <w:marLeft w:val="0"/>
      <w:marRight w:val="0"/>
      <w:marTop w:val="0"/>
      <w:marBottom w:val="0"/>
      <w:divBdr>
        <w:top w:val="none" w:sz="0" w:space="0" w:color="auto"/>
        <w:left w:val="none" w:sz="0" w:space="0" w:color="auto"/>
        <w:bottom w:val="none" w:sz="0" w:space="0" w:color="auto"/>
        <w:right w:val="none" w:sz="0" w:space="0" w:color="auto"/>
      </w:divBdr>
    </w:div>
    <w:div w:id="1209222563">
      <w:bodyDiv w:val="1"/>
      <w:marLeft w:val="0"/>
      <w:marRight w:val="0"/>
      <w:marTop w:val="0"/>
      <w:marBottom w:val="0"/>
      <w:divBdr>
        <w:top w:val="none" w:sz="0" w:space="0" w:color="auto"/>
        <w:left w:val="none" w:sz="0" w:space="0" w:color="auto"/>
        <w:bottom w:val="none" w:sz="0" w:space="0" w:color="auto"/>
        <w:right w:val="none" w:sz="0" w:space="0" w:color="auto"/>
      </w:divBdr>
    </w:div>
    <w:div w:id="1398355330">
      <w:bodyDiv w:val="1"/>
      <w:marLeft w:val="0"/>
      <w:marRight w:val="0"/>
      <w:marTop w:val="0"/>
      <w:marBottom w:val="0"/>
      <w:divBdr>
        <w:top w:val="none" w:sz="0" w:space="0" w:color="auto"/>
        <w:left w:val="none" w:sz="0" w:space="0" w:color="auto"/>
        <w:bottom w:val="none" w:sz="0" w:space="0" w:color="auto"/>
        <w:right w:val="none" w:sz="0" w:space="0" w:color="auto"/>
      </w:divBdr>
    </w:div>
    <w:div w:id="1447000648">
      <w:bodyDiv w:val="1"/>
      <w:marLeft w:val="0"/>
      <w:marRight w:val="0"/>
      <w:marTop w:val="0"/>
      <w:marBottom w:val="0"/>
      <w:divBdr>
        <w:top w:val="none" w:sz="0" w:space="0" w:color="auto"/>
        <w:left w:val="none" w:sz="0" w:space="0" w:color="auto"/>
        <w:bottom w:val="none" w:sz="0" w:space="0" w:color="auto"/>
        <w:right w:val="none" w:sz="0" w:space="0" w:color="auto"/>
      </w:divBdr>
    </w:div>
    <w:div w:id="1516458395">
      <w:bodyDiv w:val="1"/>
      <w:marLeft w:val="0"/>
      <w:marRight w:val="0"/>
      <w:marTop w:val="0"/>
      <w:marBottom w:val="0"/>
      <w:divBdr>
        <w:top w:val="none" w:sz="0" w:space="0" w:color="auto"/>
        <w:left w:val="none" w:sz="0" w:space="0" w:color="auto"/>
        <w:bottom w:val="none" w:sz="0" w:space="0" w:color="auto"/>
        <w:right w:val="none" w:sz="0" w:space="0" w:color="auto"/>
      </w:divBdr>
      <w:divsChild>
        <w:div w:id="969045670">
          <w:marLeft w:val="0"/>
          <w:marRight w:val="0"/>
          <w:marTop w:val="0"/>
          <w:marBottom w:val="0"/>
          <w:divBdr>
            <w:top w:val="none" w:sz="0" w:space="0" w:color="auto"/>
            <w:left w:val="none" w:sz="0" w:space="0" w:color="auto"/>
            <w:bottom w:val="none" w:sz="0" w:space="0" w:color="auto"/>
            <w:right w:val="none" w:sz="0" w:space="0" w:color="auto"/>
          </w:divBdr>
          <w:divsChild>
            <w:div w:id="412435135">
              <w:marLeft w:val="0"/>
              <w:marRight w:val="0"/>
              <w:marTop w:val="0"/>
              <w:marBottom w:val="0"/>
              <w:divBdr>
                <w:top w:val="none" w:sz="0" w:space="0" w:color="auto"/>
                <w:left w:val="none" w:sz="0" w:space="0" w:color="auto"/>
                <w:bottom w:val="none" w:sz="0" w:space="0" w:color="auto"/>
                <w:right w:val="none" w:sz="0" w:space="0" w:color="auto"/>
              </w:divBdr>
              <w:divsChild>
                <w:div w:id="860823228">
                  <w:marLeft w:val="0"/>
                  <w:marRight w:val="0"/>
                  <w:marTop w:val="0"/>
                  <w:marBottom w:val="0"/>
                  <w:divBdr>
                    <w:top w:val="none" w:sz="0" w:space="0" w:color="auto"/>
                    <w:left w:val="none" w:sz="0" w:space="0" w:color="auto"/>
                    <w:bottom w:val="none" w:sz="0" w:space="0" w:color="auto"/>
                    <w:right w:val="none" w:sz="0" w:space="0" w:color="auto"/>
                  </w:divBdr>
                  <w:divsChild>
                    <w:div w:id="202793165">
                      <w:marLeft w:val="0"/>
                      <w:marRight w:val="0"/>
                      <w:marTop w:val="0"/>
                      <w:marBottom w:val="0"/>
                      <w:divBdr>
                        <w:top w:val="none" w:sz="0" w:space="0" w:color="auto"/>
                        <w:left w:val="none" w:sz="0" w:space="0" w:color="auto"/>
                        <w:bottom w:val="none" w:sz="0" w:space="0" w:color="auto"/>
                        <w:right w:val="none" w:sz="0" w:space="0" w:color="auto"/>
                      </w:divBdr>
                      <w:divsChild>
                        <w:div w:id="766971265">
                          <w:marLeft w:val="0"/>
                          <w:marRight w:val="0"/>
                          <w:marTop w:val="0"/>
                          <w:marBottom w:val="0"/>
                          <w:divBdr>
                            <w:top w:val="none" w:sz="0" w:space="0" w:color="auto"/>
                            <w:left w:val="none" w:sz="0" w:space="0" w:color="auto"/>
                            <w:bottom w:val="none" w:sz="0" w:space="0" w:color="auto"/>
                            <w:right w:val="none" w:sz="0" w:space="0" w:color="auto"/>
                          </w:divBdr>
                          <w:divsChild>
                            <w:div w:id="904142438">
                              <w:marLeft w:val="0"/>
                              <w:marRight w:val="0"/>
                              <w:marTop w:val="0"/>
                              <w:marBottom w:val="0"/>
                              <w:divBdr>
                                <w:top w:val="none" w:sz="0" w:space="0" w:color="auto"/>
                                <w:left w:val="none" w:sz="0" w:space="0" w:color="auto"/>
                                <w:bottom w:val="none" w:sz="0" w:space="0" w:color="auto"/>
                                <w:right w:val="none" w:sz="0" w:space="0" w:color="auto"/>
                              </w:divBdr>
                              <w:divsChild>
                                <w:div w:id="10229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346688">
      <w:bodyDiv w:val="1"/>
      <w:marLeft w:val="0"/>
      <w:marRight w:val="0"/>
      <w:marTop w:val="0"/>
      <w:marBottom w:val="0"/>
      <w:divBdr>
        <w:top w:val="none" w:sz="0" w:space="0" w:color="auto"/>
        <w:left w:val="none" w:sz="0" w:space="0" w:color="auto"/>
        <w:bottom w:val="none" w:sz="0" w:space="0" w:color="auto"/>
        <w:right w:val="none" w:sz="0" w:space="0" w:color="auto"/>
      </w:divBdr>
      <w:divsChild>
        <w:div w:id="1008171559">
          <w:marLeft w:val="0"/>
          <w:marRight w:val="0"/>
          <w:marTop w:val="0"/>
          <w:marBottom w:val="0"/>
          <w:divBdr>
            <w:top w:val="none" w:sz="0" w:space="0" w:color="auto"/>
            <w:left w:val="none" w:sz="0" w:space="0" w:color="auto"/>
            <w:bottom w:val="none" w:sz="0" w:space="0" w:color="auto"/>
            <w:right w:val="none" w:sz="0" w:space="0" w:color="auto"/>
          </w:divBdr>
          <w:divsChild>
            <w:div w:id="1498836884">
              <w:marLeft w:val="0"/>
              <w:marRight w:val="0"/>
              <w:marTop w:val="0"/>
              <w:marBottom w:val="0"/>
              <w:divBdr>
                <w:top w:val="none" w:sz="0" w:space="0" w:color="auto"/>
                <w:left w:val="none" w:sz="0" w:space="0" w:color="auto"/>
                <w:bottom w:val="none" w:sz="0" w:space="0" w:color="auto"/>
                <w:right w:val="none" w:sz="0" w:space="0" w:color="auto"/>
              </w:divBdr>
              <w:divsChild>
                <w:div w:id="1031609555">
                  <w:marLeft w:val="0"/>
                  <w:marRight w:val="0"/>
                  <w:marTop w:val="0"/>
                  <w:marBottom w:val="0"/>
                  <w:divBdr>
                    <w:top w:val="none" w:sz="0" w:space="0" w:color="auto"/>
                    <w:left w:val="none" w:sz="0" w:space="0" w:color="auto"/>
                    <w:bottom w:val="none" w:sz="0" w:space="0" w:color="auto"/>
                    <w:right w:val="none" w:sz="0" w:space="0" w:color="auto"/>
                  </w:divBdr>
                  <w:divsChild>
                    <w:div w:id="1040665330">
                      <w:marLeft w:val="0"/>
                      <w:marRight w:val="0"/>
                      <w:marTop w:val="0"/>
                      <w:marBottom w:val="0"/>
                      <w:divBdr>
                        <w:top w:val="none" w:sz="0" w:space="0" w:color="auto"/>
                        <w:left w:val="none" w:sz="0" w:space="0" w:color="auto"/>
                        <w:bottom w:val="none" w:sz="0" w:space="0" w:color="auto"/>
                        <w:right w:val="none" w:sz="0" w:space="0" w:color="auto"/>
                      </w:divBdr>
                      <w:divsChild>
                        <w:div w:id="692145532">
                          <w:marLeft w:val="0"/>
                          <w:marRight w:val="0"/>
                          <w:marTop w:val="0"/>
                          <w:marBottom w:val="0"/>
                          <w:divBdr>
                            <w:top w:val="none" w:sz="0" w:space="0" w:color="auto"/>
                            <w:left w:val="none" w:sz="0" w:space="0" w:color="auto"/>
                            <w:bottom w:val="none" w:sz="0" w:space="0" w:color="auto"/>
                            <w:right w:val="none" w:sz="0" w:space="0" w:color="auto"/>
                          </w:divBdr>
                          <w:divsChild>
                            <w:div w:id="1240751171">
                              <w:marLeft w:val="0"/>
                              <w:marRight w:val="0"/>
                              <w:marTop w:val="0"/>
                              <w:marBottom w:val="0"/>
                              <w:divBdr>
                                <w:top w:val="none" w:sz="0" w:space="0" w:color="auto"/>
                                <w:left w:val="none" w:sz="0" w:space="0" w:color="auto"/>
                                <w:bottom w:val="none" w:sz="0" w:space="0" w:color="auto"/>
                                <w:right w:val="none" w:sz="0" w:space="0" w:color="auto"/>
                              </w:divBdr>
                              <w:divsChild>
                                <w:div w:id="7784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803927">
      <w:bodyDiv w:val="1"/>
      <w:marLeft w:val="0"/>
      <w:marRight w:val="0"/>
      <w:marTop w:val="0"/>
      <w:marBottom w:val="0"/>
      <w:divBdr>
        <w:top w:val="none" w:sz="0" w:space="0" w:color="auto"/>
        <w:left w:val="none" w:sz="0" w:space="0" w:color="auto"/>
        <w:bottom w:val="none" w:sz="0" w:space="0" w:color="auto"/>
        <w:right w:val="none" w:sz="0" w:space="0" w:color="auto"/>
      </w:divBdr>
    </w:div>
    <w:div w:id="2001427459">
      <w:bodyDiv w:val="1"/>
      <w:marLeft w:val="0"/>
      <w:marRight w:val="0"/>
      <w:marTop w:val="0"/>
      <w:marBottom w:val="0"/>
      <w:divBdr>
        <w:top w:val="none" w:sz="0" w:space="0" w:color="auto"/>
        <w:left w:val="none" w:sz="0" w:space="0" w:color="auto"/>
        <w:bottom w:val="none" w:sz="0" w:space="0" w:color="auto"/>
        <w:right w:val="none" w:sz="0" w:space="0" w:color="auto"/>
      </w:divBdr>
    </w:div>
    <w:div w:id="2038699649">
      <w:bodyDiv w:val="1"/>
      <w:marLeft w:val="0"/>
      <w:marRight w:val="0"/>
      <w:marTop w:val="0"/>
      <w:marBottom w:val="0"/>
      <w:divBdr>
        <w:top w:val="none" w:sz="0" w:space="0" w:color="auto"/>
        <w:left w:val="none" w:sz="0" w:space="0" w:color="auto"/>
        <w:bottom w:val="none" w:sz="0" w:space="0" w:color="auto"/>
        <w:right w:val="none" w:sz="0" w:space="0" w:color="auto"/>
      </w:divBdr>
      <w:divsChild>
        <w:div w:id="617446442">
          <w:marLeft w:val="0"/>
          <w:marRight w:val="0"/>
          <w:marTop w:val="0"/>
          <w:marBottom w:val="0"/>
          <w:divBdr>
            <w:top w:val="none" w:sz="0" w:space="0" w:color="auto"/>
            <w:left w:val="none" w:sz="0" w:space="0" w:color="auto"/>
            <w:bottom w:val="none" w:sz="0" w:space="0" w:color="auto"/>
            <w:right w:val="none" w:sz="0" w:space="0" w:color="auto"/>
          </w:divBdr>
          <w:divsChild>
            <w:div w:id="1067263546">
              <w:marLeft w:val="0"/>
              <w:marRight w:val="0"/>
              <w:marTop w:val="0"/>
              <w:marBottom w:val="0"/>
              <w:divBdr>
                <w:top w:val="none" w:sz="0" w:space="0" w:color="auto"/>
                <w:left w:val="none" w:sz="0" w:space="0" w:color="auto"/>
                <w:bottom w:val="none" w:sz="0" w:space="0" w:color="auto"/>
                <w:right w:val="none" w:sz="0" w:space="0" w:color="auto"/>
              </w:divBdr>
              <w:divsChild>
                <w:div w:id="780490136">
                  <w:marLeft w:val="0"/>
                  <w:marRight w:val="0"/>
                  <w:marTop w:val="0"/>
                  <w:marBottom w:val="0"/>
                  <w:divBdr>
                    <w:top w:val="none" w:sz="0" w:space="0" w:color="auto"/>
                    <w:left w:val="none" w:sz="0" w:space="0" w:color="auto"/>
                    <w:bottom w:val="none" w:sz="0" w:space="0" w:color="auto"/>
                    <w:right w:val="none" w:sz="0" w:space="0" w:color="auto"/>
                  </w:divBdr>
                  <w:divsChild>
                    <w:div w:id="1113791358">
                      <w:marLeft w:val="0"/>
                      <w:marRight w:val="0"/>
                      <w:marTop w:val="0"/>
                      <w:marBottom w:val="0"/>
                      <w:divBdr>
                        <w:top w:val="none" w:sz="0" w:space="0" w:color="auto"/>
                        <w:left w:val="none" w:sz="0" w:space="0" w:color="auto"/>
                        <w:bottom w:val="none" w:sz="0" w:space="0" w:color="auto"/>
                        <w:right w:val="none" w:sz="0" w:space="0" w:color="auto"/>
                      </w:divBdr>
                      <w:divsChild>
                        <w:div w:id="657458245">
                          <w:marLeft w:val="0"/>
                          <w:marRight w:val="0"/>
                          <w:marTop w:val="0"/>
                          <w:marBottom w:val="0"/>
                          <w:divBdr>
                            <w:top w:val="none" w:sz="0" w:space="0" w:color="auto"/>
                            <w:left w:val="none" w:sz="0" w:space="0" w:color="auto"/>
                            <w:bottom w:val="none" w:sz="0" w:space="0" w:color="auto"/>
                            <w:right w:val="none" w:sz="0" w:space="0" w:color="auto"/>
                          </w:divBdr>
                          <w:divsChild>
                            <w:div w:id="1360548197">
                              <w:marLeft w:val="0"/>
                              <w:marRight w:val="0"/>
                              <w:marTop w:val="0"/>
                              <w:marBottom w:val="0"/>
                              <w:divBdr>
                                <w:top w:val="none" w:sz="0" w:space="0" w:color="auto"/>
                                <w:left w:val="none" w:sz="0" w:space="0" w:color="auto"/>
                                <w:bottom w:val="none" w:sz="0" w:space="0" w:color="auto"/>
                                <w:right w:val="none" w:sz="0" w:space="0" w:color="auto"/>
                              </w:divBdr>
                              <w:divsChild>
                                <w:div w:id="12542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a.wa.gov.au/globalassets/pdf-files/ddg" TargetMode="External"/><Relationship Id="rId18" Type="http://schemas.openxmlformats.org/officeDocument/2006/relationships/hyperlink" Target="mailto:Jeremy.Elliott@daa.wa.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dmp.wa.gov.au/Minerals/South-West-Native-Title-12821.aspx" TargetMode="External"/><Relationship Id="rId17" Type="http://schemas.openxmlformats.org/officeDocument/2006/relationships/hyperlink" Target="mailto:Peter.Nettleton@noongar.org.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pc.wa.gov.au/" TargetMode="External"/><Relationship Id="rId20" Type="http://schemas.openxmlformats.org/officeDocument/2006/relationships/hyperlink" Target="mailto:southwestsettlement@dpc.wa.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pc.wa.gov.au/lantu/south-west-native-title-settlement/Noongar-Recognition-Act-2016/Pages/default.asp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jeremy.elliott@daa.wa.gov.au?subject=South%20West%20Native%20Title%20Settlement" TargetMode="External"/><Relationship Id="rId23" Type="http://schemas.openxmlformats.org/officeDocument/2006/relationships/header" Target="header2.xml"/><Relationship Id="rId10" Type="http://schemas.openxmlformats.org/officeDocument/2006/relationships/hyperlink" Target="https://www.mediastatements.wa.gov.au/Pages/Barnett/2016/06/Independent-Trustee-named-for-native-title-deal.aspx" TargetMode="External"/><Relationship Id="rId19" Type="http://schemas.openxmlformats.org/officeDocument/2006/relationships/hyperlink" Target="http://www.dpc.w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pc.wa.gov.au/lantu/south-west-native-title-settlement/Noongar-Standard-Heritage-Agreement/Pages/default.asp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9C3AF00DDDD48948368C640BEDD83" ma:contentTypeVersion="1" ma:contentTypeDescription="Create a new document." ma:contentTypeScope="" ma:versionID="80360cd0763b4765decc0296af902d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19B5D9-C2EC-4250-B4A0-30DAEC88C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82062-354A-4379-9FAC-FA175294635E}">
  <ds:schemaRefs>
    <ds:schemaRef ds:uri="http://schemas.microsoft.com/sharepoint/v3/contenttype/forms"/>
  </ds:schemaRefs>
</ds:datastoreItem>
</file>

<file path=customXml/itemProps3.xml><?xml version="1.0" encoding="utf-8"?>
<ds:datastoreItem xmlns:ds="http://schemas.openxmlformats.org/officeDocument/2006/customXml" ds:itemID="{9F40A1A9-16D7-47CB-BCDA-9346D72F14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3077</Words>
  <Characters>17540</Characters>
  <Application>Microsoft Office Word</Application>
  <DocSecurity>12</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DPC/PSC</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Elder, Angela</dc:creator>
  <cp:lastModifiedBy>Adolph, Fiona</cp:lastModifiedBy>
  <cp:revision>2</cp:revision>
  <cp:lastPrinted>2016-06-27T05:00:00Z</cp:lastPrinted>
  <dcterms:created xsi:type="dcterms:W3CDTF">2019-04-17T04:26:00Z</dcterms:created>
  <dcterms:modified xsi:type="dcterms:W3CDTF">2019-04-17T04:26:00Z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1929436681</vt:i4>
  </property>
  <property fmtid="{D5CDD505-2E9C-101B-9397-08002B2CF9AE}" pid="3" name="_NewReviewCycle">
    <vt:lpwstr/>
  </property>
  <property fmtid="{D5CDD505-2E9C-101B-9397-08002B2CF9AE}" pid="4" name="_EmailSubject">
    <vt:lpwstr>Updated newsletter with active DAA links</vt:lpwstr>
  </property>
  <property fmtid="{D5CDD505-2E9C-101B-9397-08002B2CF9AE}" pid="5" name="_AuthorEmail">
    <vt:lpwstr>Natalie.Contos@dpc.wa.gov.au</vt:lpwstr>
  </property>
  <property fmtid="{D5CDD505-2E9C-101B-9397-08002B2CF9AE}" pid="6" name="_AuthorEmailDisplayName">
    <vt:lpwstr>Contos, Natalie</vt:lpwstr>
  </property>
  <property fmtid="{D5CDD505-2E9C-101B-9397-08002B2CF9AE}" pid="7" name="_PreviousAdHocReviewCycleID">
    <vt:i4>558520955</vt:i4>
  </property>
  <property fmtid="{D5CDD505-2E9C-101B-9397-08002B2CF9AE}" pid="8" name="_ReviewingToolsShownOnce">
    <vt:lpwstr/>
  </property>
  <property fmtid="{D5CDD505-2E9C-101B-9397-08002B2CF9AE}" pid="9" name="ContentTypeId">
    <vt:lpwstr>0x010100B9A9C3AF00DDDD48948368C640BEDD83</vt:lpwstr>
  </property>
</Properties>
</file>